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6CA" w:rsidRPr="00724F7E" w:rsidRDefault="009406CA" w:rsidP="0098589B">
      <w:pPr>
        <w:spacing w:line="360" w:lineRule="auto"/>
        <w:contextualSpacing/>
        <w:jc w:val="center"/>
        <w:rPr>
          <w:b/>
          <w:sz w:val="40"/>
        </w:rPr>
      </w:pPr>
      <w:bookmarkStart w:id="0" w:name="_GoBack"/>
      <w:bookmarkEnd w:id="0"/>
    </w:p>
    <w:p w:rsidR="009406CA" w:rsidRPr="00724F7E" w:rsidRDefault="009406CA" w:rsidP="0098589B">
      <w:pPr>
        <w:spacing w:line="360" w:lineRule="auto"/>
        <w:contextualSpacing/>
        <w:jc w:val="center"/>
        <w:rPr>
          <w:b/>
          <w:sz w:val="44"/>
        </w:rPr>
      </w:pPr>
    </w:p>
    <w:p w:rsidR="009406CA" w:rsidRPr="00724F7E" w:rsidRDefault="00731DD1" w:rsidP="0098589B">
      <w:pPr>
        <w:spacing w:line="360" w:lineRule="auto"/>
        <w:contextualSpacing/>
        <w:jc w:val="center"/>
        <w:rPr>
          <w:b/>
          <w:sz w:val="44"/>
        </w:rPr>
      </w:pPr>
      <w:r w:rsidRPr="00731DD1">
        <w:rPr>
          <w:b/>
          <w:sz w:val="44"/>
        </w:rPr>
        <w:t>The Equity-like Features of Sovereign Bonds</w:t>
      </w:r>
      <w:r w:rsidR="009406CA" w:rsidRPr="00724F7E">
        <w:rPr>
          <w:b/>
          <w:sz w:val="44"/>
        </w:rPr>
        <w:t xml:space="preserve"> </w:t>
      </w:r>
    </w:p>
    <w:p w:rsidR="009406CA" w:rsidRPr="00724F7E" w:rsidRDefault="009406CA" w:rsidP="0098589B">
      <w:pPr>
        <w:spacing w:line="360" w:lineRule="auto"/>
        <w:contextualSpacing/>
        <w:jc w:val="center"/>
        <w:rPr>
          <w:b/>
          <w:sz w:val="28"/>
        </w:rPr>
      </w:pPr>
      <w:r w:rsidRPr="00724F7E">
        <w:rPr>
          <w:b/>
          <w:sz w:val="28"/>
        </w:rPr>
        <w:t>Alfonso Dufour, Andrei</w:t>
      </w:r>
      <w:r w:rsidR="00F57C64">
        <w:rPr>
          <w:b/>
          <w:sz w:val="28"/>
        </w:rPr>
        <w:t xml:space="preserve"> </w:t>
      </w:r>
      <w:r w:rsidRPr="00724F7E">
        <w:rPr>
          <w:b/>
          <w:sz w:val="28"/>
        </w:rPr>
        <w:t>Stancu, Simone Varotto*</w:t>
      </w:r>
      <w:r w:rsidRPr="00DB5A9B">
        <w:rPr>
          <w:rStyle w:val="Rimandonotaapidipagina"/>
          <w:b/>
          <w:color w:val="FFFFFF" w:themeColor="background1"/>
          <w:sz w:val="28"/>
        </w:rPr>
        <w:footnoteReference w:id="1"/>
      </w:r>
    </w:p>
    <w:p w:rsidR="009406CA" w:rsidRPr="00724F7E" w:rsidRDefault="009406CA" w:rsidP="0098589B">
      <w:pPr>
        <w:spacing w:line="360" w:lineRule="auto"/>
        <w:contextualSpacing/>
        <w:jc w:val="center"/>
        <w:rPr>
          <w:b/>
          <w:sz w:val="28"/>
        </w:rPr>
      </w:pPr>
      <w:r w:rsidRPr="00724F7E">
        <w:rPr>
          <w:b/>
          <w:sz w:val="28"/>
        </w:rPr>
        <w:t xml:space="preserve">This draft: </w:t>
      </w:r>
      <w:r w:rsidR="00922488">
        <w:rPr>
          <w:b/>
          <w:sz w:val="28"/>
        </w:rPr>
        <w:t>August</w:t>
      </w:r>
      <w:r w:rsidR="006B668A">
        <w:rPr>
          <w:b/>
          <w:sz w:val="28"/>
        </w:rPr>
        <w:t xml:space="preserve"> </w:t>
      </w:r>
      <w:r w:rsidR="00922488">
        <w:rPr>
          <w:b/>
          <w:sz w:val="28"/>
        </w:rPr>
        <w:t>19</w:t>
      </w:r>
      <w:r w:rsidR="006B668A">
        <w:rPr>
          <w:b/>
          <w:sz w:val="28"/>
        </w:rPr>
        <w:t>,</w:t>
      </w:r>
      <w:r w:rsidR="00872711" w:rsidRPr="00724F7E">
        <w:rPr>
          <w:b/>
          <w:sz w:val="28"/>
        </w:rPr>
        <w:t xml:space="preserve"> 2014</w:t>
      </w:r>
    </w:p>
    <w:p w:rsidR="009406CA" w:rsidRPr="00724F7E" w:rsidRDefault="009406CA" w:rsidP="0098589B">
      <w:pPr>
        <w:spacing w:line="360" w:lineRule="auto"/>
        <w:contextualSpacing/>
        <w:jc w:val="center"/>
        <w:rPr>
          <w:b/>
          <w:sz w:val="28"/>
        </w:rPr>
      </w:pPr>
    </w:p>
    <w:p w:rsidR="004B723D" w:rsidRPr="00724F7E" w:rsidRDefault="004B723D" w:rsidP="0098589B">
      <w:pPr>
        <w:spacing w:line="360" w:lineRule="auto"/>
        <w:contextualSpacing/>
        <w:jc w:val="center"/>
        <w:rPr>
          <w:b/>
          <w:sz w:val="28"/>
        </w:rPr>
      </w:pPr>
    </w:p>
    <w:p w:rsidR="009406CA" w:rsidRPr="004B2AE6" w:rsidRDefault="009406CA" w:rsidP="0098589B">
      <w:pPr>
        <w:spacing w:line="360" w:lineRule="auto"/>
        <w:contextualSpacing/>
        <w:rPr>
          <w:sz w:val="24"/>
          <w:szCs w:val="24"/>
        </w:rPr>
      </w:pPr>
    </w:p>
    <w:p w:rsidR="009406CA" w:rsidRPr="004B2AE6" w:rsidRDefault="009406CA" w:rsidP="0098589B">
      <w:pPr>
        <w:spacing w:after="240" w:line="360" w:lineRule="auto"/>
        <w:contextualSpacing/>
        <w:jc w:val="center"/>
        <w:rPr>
          <w:b/>
          <w:sz w:val="24"/>
          <w:szCs w:val="24"/>
        </w:rPr>
      </w:pPr>
      <w:r w:rsidRPr="004B2AE6">
        <w:rPr>
          <w:b/>
          <w:sz w:val="24"/>
          <w:szCs w:val="24"/>
        </w:rPr>
        <w:t>Abstract</w:t>
      </w:r>
    </w:p>
    <w:p w:rsidR="009406CA" w:rsidRPr="004B2AE6" w:rsidRDefault="009406CA" w:rsidP="0098589B">
      <w:pPr>
        <w:spacing w:after="240" w:line="360" w:lineRule="auto"/>
        <w:ind w:firstLine="720"/>
        <w:contextualSpacing/>
        <w:jc w:val="both"/>
        <w:rPr>
          <w:sz w:val="24"/>
          <w:szCs w:val="24"/>
        </w:rPr>
      </w:pPr>
      <w:r w:rsidRPr="004B2AE6">
        <w:rPr>
          <w:sz w:val="24"/>
          <w:szCs w:val="24"/>
        </w:rPr>
        <w:t xml:space="preserve">Using a </w:t>
      </w:r>
      <w:r w:rsidR="00086341" w:rsidRPr="004B2AE6">
        <w:rPr>
          <w:sz w:val="24"/>
          <w:szCs w:val="24"/>
        </w:rPr>
        <w:t xml:space="preserve">rich dataset of high frequency historical information </w:t>
      </w:r>
      <w:r w:rsidRPr="004B2AE6">
        <w:rPr>
          <w:sz w:val="24"/>
          <w:szCs w:val="24"/>
        </w:rPr>
        <w:t xml:space="preserve">we </w:t>
      </w:r>
      <w:r w:rsidR="00EE58F8" w:rsidRPr="004B2AE6">
        <w:rPr>
          <w:sz w:val="24"/>
          <w:szCs w:val="24"/>
        </w:rPr>
        <w:t xml:space="preserve">study the determinants of </w:t>
      </w:r>
      <w:r w:rsidR="00B12A7B" w:rsidRPr="004B2AE6">
        <w:rPr>
          <w:sz w:val="24"/>
          <w:szCs w:val="24"/>
        </w:rPr>
        <w:t xml:space="preserve">European </w:t>
      </w:r>
      <w:r w:rsidR="00EE58F8" w:rsidRPr="004B2AE6">
        <w:rPr>
          <w:sz w:val="24"/>
          <w:szCs w:val="24"/>
        </w:rPr>
        <w:t xml:space="preserve">sovereign bond returns over calm and crisis periods. We find that the </w:t>
      </w:r>
      <w:r w:rsidR="00627BB9" w:rsidRPr="004B2AE6">
        <w:rPr>
          <w:sz w:val="24"/>
          <w:szCs w:val="24"/>
        </w:rPr>
        <w:t xml:space="preserve">importance </w:t>
      </w:r>
      <w:r w:rsidRPr="004B2AE6">
        <w:rPr>
          <w:sz w:val="24"/>
          <w:szCs w:val="24"/>
        </w:rPr>
        <w:t xml:space="preserve">of </w:t>
      </w:r>
      <w:r w:rsidR="00EE58F8" w:rsidRPr="004B2AE6">
        <w:rPr>
          <w:sz w:val="24"/>
          <w:szCs w:val="24"/>
        </w:rPr>
        <w:t>credit and liquid</w:t>
      </w:r>
      <w:r w:rsidR="00086341" w:rsidRPr="004B2AE6">
        <w:rPr>
          <w:sz w:val="24"/>
          <w:szCs w:val="24"/>
        </w:rPr>
        <w:t>i</w:t>
      </w:r>
      <w:r w:rsidR="00EE58F8" w:rsidRPr="004B2AE6">
        <w:rPr>
          <w:sz w:val="24"/>
          <w:szCs w:val="24"/>
        </w:rPr>
        <w:t xml:space="preserve">ty </w:t>
      </w:r>
      <w:r w:rsidRPr="004B2AE6">
        <w:rPr>
          <w:sz w:val="24"/>
          <w:szCs w:val="24"/>
        </w:rPr>
        <w:t xml:space="preserve">risk factors vary greatly </w:t>
      </w:r>
      <w:r w:rsidR="00627BB9" w:rsidRPr="004B2AE6">
        <w:rPr>
          <w:sz w:val="24"/>
          <w:szCs w:val="24"/>
        </w:rPr>
        <w:t xml:space="preserve">over time and </w:t>
      </w:r>
      <w:r w:rsidR="008D7A2F" w:rsidRPr="004B2AE6">
        <w:rPr>
          <w:sz w:val="24"/>
          <w:szCs w:val="24"/>
        </w:rPr>
        <w:t xml:space="preserve">crucially </w:t>
      </w:r>
      <w:r w:rsidR="00627BB9" w:rsidRPr="004B2AE6">
        <w:rPr>
          <w:sz w:val="24"/>
          <w:szCs w:val="24"/>
        </w:rPr>
        <w:t xml:space="preserve">depends </w:t>
      </w:r>
      <w:r w:rsidRPr="004B2AE6">
        <w:rPr>
          <w:sz w:val="24"/>
          <w:szCs w:val="24"/>
        </w:rPr>
        <w:t xml:space="preserve">on </w:t>
      </w:r>
      <w:r w:rsidR="00EE58F8" w:rsidRPr="004B2AE6">
        <w:rPr>
          <w:sz w:val="24"/>
          <w:szCs w:val="24"/>
        </w:rPr>
        <w:t>country risk</w:t>
      </w:r>
      <w:r w:rsidRPr="004B2AE6">
        <w:rPr>
          <w:sz w:val="24"/>
          <w:szCs w:val="24"/>
        </w:rPr>
        <w:t xml:space="preserve">. </w:t>
      </w:r>
      <w:r w:rsidR="00086341" w:rsidRPr="004B2AE6">
        <w:rPr>
          <w:sz w:val="24"/>
          <w:szCs w:val="24"/>
        </w:rPr>
        <w:t>I</w:t>
      </w:r>
      <w:r w:rsidR="00EE58F8" w:rsidRPr="004B2AE6">
        <w:rPr>
          <w:sz w:val="24"/>
          <w:szCs w:val="24"/>
        </w:rPr>
        <w:t>n low risk countries</w:t>
      </w:r>
      <w:r w:rsidR="00B12A7B" w:rsidRPr="004B2AE6">
        <w:rPr>
          <w:sz w:val="24"/>
          <w:szCs w:val="24"/>
        </w:rPr>
        <w:t>,</w:t>
      </w:r>
      <w:r w:rsidR="00EE58F8" w:rsidRPr="004B2AE6">
        <w:rPr>
          <w:sz w:val="24"/>
          <w:szCs w:val="24"/>
        </w:rPr>
        <w:t xml:space="preserve"> government bond returns are negatively related to equity returns</w:t>
      </w:r>
      <w:r w:rsidR="008D7A2F" w:rsidRPr="004B2AE6">
        <w:rPr>
          <w:sz w:val="24"/>
          <w:szCs w:val="24"/>
        </w:rPr>
        <w:t>,</w:t>
      </w:r>
      <w:r w:rsidR="00EE58F8" w:rsidRPr="004B2AE6">
        <w:rPr>
          <w:sz w:val="24"/>
          <w:szCs w:val="24"/>
        </w:rPr>
        <w:t xml:space="preserve"> regardless of market</w:t>
      </w:r>
      <w:r w:rsidR="00E2065D" w:rsidRPr="004B2AE6">
        <w:rPr>
          <w:sz w:val="24"/>
          <w:szCs w:val="24"/>
        </w:rPr>
        <w:t xml:space="preserve"> </w:t>
      </w:r>
      <w:r w:rsidR="00EE58F8" w:rsidRPr="004B2AE6">
        <w:rPr>
          <w:sz w:val="24"/>
          <w:szCs w:val="24"/>
        </w:rPr>
        <w:t>condition</w:t>
      </w:r>
      <w:r w:rsidR="00B12A7B" w:rsidRPr="004B2AE6">
        <w:rPr>
          <w:sz w:val="24"/>
          <w:szCs w:val="24"/>
        </w:rPr>
        <w:t xml:space="preserve">s. Investors appear to migrate from </w:t>
      </w:r>
      <w:r w:rsidR="008D7A2F" w:rsidRPr="004B2AE6">
        <w:rPr>
          <w:sz w:val="24"/>
          <w:szCs w:val="24"/>
        </w:rPr>
        <w:t xml:space="preserve">low risk </w:t>
      </w:r>
      <w:r w:rsidR="00B12A7B" w:rsidRPr="004B2AE6">
        <w:rPr>
          <w:sz w:val="24"/>
          <w:szCs w:val="24"/>
        </w:rPr>
        <w:t>government bonds to stocks in calm periods and in the opposit</w:t>
      </w:r>
      <w:r w:rsidR="00086341" w:rsidRPr="004B2AE6">
        <w:rPr>
          <w:sz w:val="24"/>
          <w:szCs w:val="24"/>
        </w:rPr>
        <w:t>e</w:t>
      </w:r>
      <w:r w:rsidR="00B12A7B" w:rsidRPr="004B2AE6">
        <w:rPr>
          <w:sz w:val="24"/>
          <w:szCs w:val="24"/>
        </w:rPr>
        <w:t xml:space="preserve"> direction when markets are under stress. On the other hand, government bonds of high risk countries </w:t>
      </w:r>
      <w:r w:rsidR="00627BB9" w:rsidRPr="004B2AE6">
        <w:rPr>
          <w:sz w:val="24"/>
          <w:szCs w:val="24"/>
        </w:rPr>
        <w:t>lose their “safe-</w:t>
      </w:r>
      <w:r w:rsidR="00B12A7B" w:rsidRPr="004B2AE6">
        <w:rPr>
          <w:sz w:val="24"/>
          <w:szCs w:val="24"/>
        </w:rPr>
        <w:t>asset</w:t>
      </w:r>
      <w:r w:rsidR="00627BB9" w:rsidRPr="004B2AE6">
        <w:rPr>
          <w:sz w:val="24"/>
          <w:szCs w:val="24"/>
        </w:rPr>
        <w:t>”</w:t>
      </w:r>
      <w:r w:rsidR="00B12A7B" w:rsidRPr="004B2AE6">
        <w:rPr>
          <w:sz w:val="24"/>
          <w:szCs w:val="24"/>
        </w:rPr>
        <w:t xml:space="preserve"> status during the recent sovereign debt crisis and </w:t>
      </w:r>
      <w:r w:rsidR="00627BB9" w:rsidRPr="004B2AE6">
        <w:rPr>
          <w:sz w:val="24"/>
          <w:szCs w:val="24"/>
        </w:rPr>
        <w:t xml:space="preserve">have </w:t>
      </w:r>
      <w:r w:rsidR="00B12A7B" w:rsidRPr="004B2AE6">
        <w:rPr>
          <w:sz w:val="24"/>
          <w:szCs w:val="24"/>
        </w:rPr>
        <w:t>exhibit</w:t>
      </w:r>
      <w:r w:rsidR="00627BB9" w:rsidRPr="004B2AE6">
        <w:rPr>
          <w:sz w:val="24"/>
          <w:szCs w:val="24"/>
        </w:rPr>
        <w:t>ed</w:t>
      </w:r>
      <w:r w:rsidR="00B12A7B" w:rsidRPr="004B2AE6">
        <w:rPr>
          <w:sz w:val="24"/>
          <w:szCs w:val="24"/>
        </w:rPr>
        <w:t xml:space="preserve"> more </w:t>
      </w:r>
      <w:r w:rsidR="00086341" w:rsidRPr="004B2AE6">
        <w:rPr>
          <w:sz w:val="24"/>
          <w:szCs w:val="24"/>
        </w:rPr>
        <w:t>equity-</w:t>
      </w:r>
      <w:r w:rsidR="00B12A7B" w:rsidRPr="004B2AE6">
        <w:rPr>
          <w:sz w:val="24"/>
          <w:szCs w:val="24"/>
        </w:rPr>
        <w:t xml:space="preserve">like features </w:t>
      </w:r>
      <w:r w:rsidR="00627BB9" w:rsidRPr="004B2AE6">
        <w:rPr>
          <w:sz w:val="24"/>
          <w:szCs w:val="24"/>
        </w:rPr>
        <w:t xml:space="preserve">since then, with positive and </w:t>
      </w:r>
      <w:r w:rsidR="00822806" w:rsidRPr="004B2AE6">
        <w:rPr>
          <w:sz w:val="24"/>
          <w:szCs w:val="24"/>
        </w:rPr>
        <w:t xml:space="preserve">strongly significant </w:t>
      </w:r>
      <w:r w:rsidR="00086341" w:rsidRPr="004B2AE6">
        <w:rPr>
          <w:sz w:val="24"/>
          <w:szCs w:val="24"/>
        </w:rPr>
        <w:t xml:space="preserve">co-movements relative to the </w:t>
      </w:r>
      <w:r w:rsidR="008D7A2F" w:rsidRPr="004B2AE6">
        <w:rPr>
          <w:sz w:val="24"/>
          <w:szCs w:val="24"/>
        </w:rPr>
        <w:t>stock market</w:t>
      </w:r>
      <w:r w:rsidR="00822806" w:rsidRPr="004B2AE6">
        <w:rPr>
          <w:sz w:val="24"/>
          <w:szCs w:val="24"/>
        </w:rPr>
        <w:t xml:space="preserve">. </w:t>
      </w:r>
      <w:r w:rsidR="008D7A2F" w:rsidRPr="004B2AE6">
        <w:rPr>
          <w:sz w:val="24"/>
          <w:szCs w:val="24"/>
        </w:rPr>
        <w:t>T</w:t>
      </w:r>
      <w:r w:rsidR="00822806" w:rsidRPr="004B2AE6">
        <w:rPr>
          <w:sz w:val="24"/>
          <w:szCs w:val="24"/>
        </w:rPr>
        <w:t xml:space="preserve">he </w:t>
      </w:r>
      <w:r w:rsidR="00086341" w:rsidRPr="004B2AE6">
        <w:rPr>
          <w:sz w:val="24"/>
          <w:szCs w:val="24"/>
        </w:rPr>
        <w:t xml:space="preserve">new </w:t>
      </w:r>
      <w:r w:rsidR="00822806" w:rsidRPr="004B2AE6">
        <w:rPr>
          <w:sz w:val="24"/>
          <w:szCs w:val="24"/>
        </w:rPr>
        <w:t xml:space="preserve">segmentation of the government bond market suggests higher diversification </w:t>
      </w:r>
      <w:r w:rsidR="00667280" w:rsidRPr="004B2AE6">
        <w:rPr>
          <w:sz w:val="24"/>
          <w:szCs w:val="24"/>
        </w:rPr>
        <w:t xml:space="preserve">benefits </w:t>
      </w:r>
      <w:r w:rsidR="00822806" w:rsidRPr="004B2AE6">
        <w:rPr>
          <w:sz w:val="24"/>
          <w:szCs w:val="24"/>
        </w:rPr>
        <w:t xml:space="preserve">for fixed income investors </w:t>
      </w:r>
      <w:r w:rsidR="0098589B" w:rsidRPr="004B2AE6">
        <w:rPr>
          <w:sz w:val="24"/>
          <w:szCs w:val="24"/>
        </w:rPr>
        <w:t>as well as diversified funds and pension funds</w:t>
      </w:r>
      <w:r w:rsidR="00822806" w:rsidRPr="004B2AE6">
        <w:rPr>
          <w:sz w:val="24"/>
          <w:szCs w:val="24"/>
        </w:rPr>
        <w:t>.</w:t>
      </w:r>
    </w:p>
    <w:p w:rsidR="0098589B" w:rsidRPr="004B2AE6" w:rsidRDefault="0098589B" w:rsidP="0098589B">
      <w:pPr>
        <w:spacing w:after="240" w:line="360" w:lineRule="auto"/>
        <w:contextualSpacing/>
        <w:rPr>
          <w:b/>
          <w:sz w:val="24"/>
          <w:szCs w:val="24"/>
        </w:rPr>
      </w:pPr>
    </w:p>
    <w:p w:rsidR="009406CA" w:rsidRPr="004B2AE6" w:rsidRDefault="009406CA" w:rsidP="0098589B">
      <w:pPr>
        <w:spacing w:after="240" w:line="360" w:lineRule="auto"/>
        <w:contextualSpacing/>
        <w:rPr>
          <w:sz w:val="24"/>
          <w:szCs w:val="24"/>
        </w:rPr>
      </w:pPr>
      <w:r w:rsidRPr="004B2AE6">
        <w:rPr>
          <w:b/>
          <w:sz w:val="24"/>
          <w:szCs w:val="24"/>
        </w:rPr>
        <w:t>JEL Classification:</w:t>
      </w:r>
      <w:r w:rsidRPr="004B2AE6">
        <w:rPr>
          <w:sz w:val="24"/>
          <w:szCs w:val="24"/>
        </w:rPr>
        <w:t xml:space="preserve"> G01, G12, G15, E43</w:t>
      </w:r>
    </w:p>
    <w:p w:rsidR="009406CA" w:rsidRPr="004B2AE6" w:rsidRDefault="009406CA" w:rsidP="0098589B">
      <w:pPr>
        <w:spacing w:after="240" w:line="360" w:lineRule="auto"/>
        <w:contextualSpacing/>
        <w:rPr>
          <w:sz w:val="24"/>
          <w:szCs w:val="24"/>
        </w:rPr>
      </w:pPr>
      <w:r w:rsidRPr="004B2AE6">
        <w:rPr>
          <w:b/>
          <w:sz w:val="24"/>
          <w:szCs w:val="24"/>
        </w:rPr>
        <w:t>Keywords:</w:t>
      </w:r>
      <w:r w:rsidRPr="004B2AE6">
        <w:rPr>
          <w:sz w:val="24"/>
          <w:szCs w:val="24"/>
        </w:rPr>
        <w:t xml:space="preserve"> </w:t>
      </w:r>
      <w:r w:rsidR="005C2337" w:rsidRPr="004B2AE6">
        <w:rPr>
          <w:sz w:val="24"/>
          <w:szCs w:val="24"/>
        </w:rPr>
        <w:t>Government Bonds</w:t>
      </w:r>
      <w:r w:rsidR="005C2337">
        <w:rPr>
          <w:sz w:val="24"/>
          <w:szCs w:val="24"/>
        </w:rPr>
        <w:t>,</w:t>
      </w:r>
      <w:r w:rsidR="005C2337" w:rsidRPr="004B2AE6">
        <w:rPr>
          <w:sz w:val="24"/>
          <w:szCs w:val="24"/>
        </w:rPr>
        <w:t xml:space="preserve"> </w:t>
      </w:r>
      <w:r w:rsidR="005C2337">
        <w:rPr>
          <w:sz w:val="24"/>
          <w:szCs w:val="24"/>
        </w:rPr>
        <w:t xml:space="preserve">Subprime Crisis, </w:t>
      </w:r>
      <w:r w:rsidRPr="004B2AE6">
        <w:rPr>
          <w:sz w:val="24"/>
          <w:szCs w:val="24"/>
        </w:rPr>
        <w:t>Sovereign Debt Crisis, Credit Risk, Liquidity Risk, Asset Pricing</w:t>
      </w:r>
      <w:r w:rsidR="005C2337">
        <w:rPr>
          <w:sz w:val="24"/>
          <w:szCs w:val="24"/>
        </w:rPr>
        <w:t>.</w:t>
      </w:r>
      <w:r w:rsidRPr="004B2AE6">
        <w:rPr>
          <w:sz w:val="24"/>
          <w:szCs w:val="24"/>
        </w:rPr>
        <w:t xml:space="preserve"> </w:t>
      </w:r>
    </w:p>
    <w:p w:rsidR="009406CA" w:rsidRPr="004B2AE6" w:rsidRDefault="009406CA" w:rsidP="0098589B">
      <w:pPr>
        <w:spacing w:line="360" w:lineRule="auto"/>
        <w:contextualSpacing/>
        <w:rPr>
          <w:sz w:val="24"/>
          <w:szCs w:val="24"/>
        </w:rPr>
      </w:pPr>
    </w:p>
    <w:p w:rsidR="009406CA" w:rsidRPr="004B2AE6" w:rsidRDefault="009406CA" w:rsidP="0098589B">
      <w:pPr>
        <w:spacing w:line="360" w:lineRule="auto"/>
        <w:contextualSpacing/>
        <w:rPr>
          <w:sz w:val="24"/>
          <w:szCs w:val="24"/>
        </w:rPr>
        <w:sectPr w:rsidR="009406CA" w:rsidRPr="004B2AE6">
          <w:footerReference w:type="default" r:id="rId9"/>
          <w:pgSz w:w="11906" w:h="16838"/>
          <w:pgMar w:top="1440" w:right="1440" w:bottom="1440" w:left="1440" w:header="708" w:footer="708" w:gutter="0"/>
          <w:cols w:space="708"/>
          <w:docGrid w:linePitch="360"/>
        </w:sectPr>
      </w:pPr>
    </w:p>
    <w:p w:rsidR="009406CA" w:rsidRPr="004B2AE6" w:rsidRDefault="009406CA" w:rsidP="00BE50DA">
      <w:pPr>
        <w:pStyle w:val="Paragrafoelenco"/>
        <w:numPr>
          <w:ilvl w:val="0"/>
          <w:numId w:val="1"/>
        </w:numPr>
        <w:spacing w:line="360" w:lineRule="auto"/>
        <w:rPr>
          <w:sz w:val="24"/>
          <w:szCs w:val="24"/>
        </w:rPr>
      </w:pPr>
      <w:r w:rsidRPr="004B2AE6">
        <w:rPr>
          <w:sz w:val="24"/>
          <w:szCs w:val="24"/>
        </w:rPr>
        <w:lastRenderedPageBreak/>
        <w:t>Introduction</w:t>
      </w:r>
    </w:p>
    <w:p w:rsidR="001425A0" w:rsidRPr="00DD349B" w:rsidRDefault="00C9186A" w:rsidP="008B4753">
      <w:pPr>
        <w:spacing w:line="360" w:lineRule="auto"/>
        <w:ind w:firstLine="360"/>
        <w:contextualSpacing/>
        <w:jc w:val="both"/>
        <w:rPr>
          <w:color w:val="E36C0A" w:themeColor="accent6" w:themeShade="BF"/>
          <w:sz w:val="24"/>
          <w:szCs w:val="24"/>
        </w:rPr>
      </w:pPr>
      <w:r w:rsidRPr="004B2AE6">
        <w:rPr>
          <w:sz w:val="24"/>
          <w:szCs w:val="24"/>
        </w:rPr>
        <w:t>Common distinctions between “safe” and “risky” assets have been called into question f</w:t>
      </w:r>
      <w:r w:rsidR="00AA4EE4" w:rsidRPr="004B2AE6">
        <w:rPr>
          <w:sz w:val="24"/>
          <w:szCs w:val="24"/>
        </w:rPr>
        <w:t xml:space="preserve">ollowing the </w:t>
      </w:r>
      <w:r w:rsidR="005D29CA" w:rsidRPr="004B2AE6">
        <w:rPr>
          <w:sz w:val="24"/>
          <w:szCs w:val="24"/>
        </w:rPr>
        <w:t>financial crisis</w:t>
      </w:r>
      <w:r w:rsidR="0073326D" w:rsidRPr="004B2AE6">
        <w:rPr>
          <w:sz w:val="24"/>
          <w:szCs w:val="24"/>
        </w:rPr>
        <w:t xml:space="preserve"> that has affected global markets over the last few years.</w:t>
      </w:r>
      <w:r w:rsidR="0073326D" w:rsidRPr="004B2AE6" w:rsidDel="0073326D">
        <w:rPr>
          <w:sz w:val="24"/>
          <w:szCs w:val="24"/>
        </w:rPr>
        <w:t xml:space="preserve"> </w:t>
      </w:r>
      <w:r w:rsidR="000D7801" w:rsidRPr="004B2AE6">
        <w:rPr>
          <w:sz w:val="24"/>
          <w:szCs w:val="24"/>
        </w:rPr>
        <w:t>The abnormally high c</w:t>
      </w:r>
      <w:r w:rsidR="0073326D" w:rsidRPr="004B2AE6">
        <w:rPr>
          <w:sz w:val="24"/>
          <w:szCs w:val="24"/>
        </w:rPr>
        <w:t xml:space="preserve">redit spreads </w:t>
      </w:r>
      <w:r w:rsidR="0062297F" w:rsidRPr="004B2AE6">
        <w:rPr>
          <w:sz w:val="24"/>
          <w:szCs w:val="24"/>
        </w:rPr>
        <w:t xml:space="preserve">observed for </w:t>
      </w:r>
      <w:r w:rsidR="000D7801" w:rsidRPr="004B2AE6">
        <w:rPr>
          <w:sz w:val="24"/>
          <w:szCs w:val="24"/>
        </w:rPr>
        <w:t xml:space="preserve">a number of </w:t>
      </w:r>
      <w:r w:rsidR="0073326D" w:rsidRPr="004B2AE6">
        <w:rPr>
          <w:sz w:val="24"/>
          <w:szCs w:val="24"/>
        </w:rPr>
        <w:t>government securities</w:t>
      </w:r>
      <w:r w:rsidR="003F22D1">
        <w:rPr>
          <w:sz w:val="24"/>
          <w:szCs w:val="24"/>
        </w:rPr>
        <w:t xml:space="preserve"> in developed economies</w:t>
      </w:r>
      <w:r w:rsidR="000D7801" w:rsidRPr="004B2AE6">
        <w:rPr>
          <w:sz w:val="24"/>
          <w:szCs w:val="24"/>
        </w:rPr>
        <w:t xml:space="preserve">, previously considered virtually riskless, </w:t>
      </w:r>
      <w:r w:rsidR="00D00F18">
        <w:rPr>
          <w:sz w:val="24"/>
          <w:szCs w:val="24"/>
        </w:rPr>
        <w:t xml:space="preserve">marks a paradigm shift in investors’ perceptions with profound implications for pricing, hedging and portfolio allocation </w:t>
      </w:r>
      <w:r w:rsidR="00292D01">
        <w:rPr>
          <w:sz w:val="24"/>
          <w:szCs w:val="24"/>
        </w:rPr>
        <w:t xml:space="preserve">strategies. </w:t>
      </w:r>
      <w:r w:rsidR="005D29CA" w:rsidRPr="004B2AE6">
        <w:rPr>
          <w:sz w:val="24"/>
          <w:szCs w:val="24"/>
        </w:rPr>
        <w:t>The 2010</w:t>
      </w:r>
      <w:r w:rsidR="0062297F" w:rsidRPr="004B2AE6">
        <w:rPr>
          <w:sz w:val="24"/>
          <w:szCs w:val="24"/>
        </w:rPr>
        <w:t>-13</w:t>
      </w:r>
      <w:r w:rsidR="005D29CA" w:rsidRPr="004B2AE6">
        <w:rPr>
          <w:sz w:val="24"/>
          <w:szCs w:val="24"/>
        </w:rPr>
        <w:t xml:space="preserve"> European sovereign debt crisis</w:t>
      </w:r>
      <w:r w:rsidR="0005629F" w:rsidRPr="004B2AE6">
        <w:rPr>
          <w:sz w:val="24"/>
          <w:szCs w:val="24"/>
        </w:rPr>
        <w:t xml:space="preserve"> </w:t>
      </w:r>
      <w:r w:rsidR="0057599E" w:rsidRPr="004B2AE6">
        <w:rPr>
          <w:sz w:val="24"/>
          <w:szCs w:val="24"/>
        </w:rPr>
        <w:t xml:space="preserve">offers the perfect setting to </w:t>
      </w:r>
      <w:r w:rsidR="0062297F" w:rsidRPr="004B2AE6">
        <w:rPr>
          <w:sz w:val="24"/>
          <w:szCs w:val="24"/>
        </w:rPr>
        <w:t xml:space="preserve">analyse </w:t>
      </w:r>
      <w:r w:rsidR="0057599E" w:rsidRPr="004B2AE6">
        <w:rPr>
          <w:sz w:val="24"/>
          <w:szCs w:val="24"/>
        </w:rPr>
        <w:t xml:space="preserve">the </w:t>
      </w:r>
      <w:r w:rsidR="0062297F" w:rsidRPr="004B2AE6">
        <w:rPr>
          <w:sz w:val="24"/>
          <w:szCs w:val="24"/>
        </w:rPr>
        <w:t xml:space="preserve">determinants of risk in </w:t>
      </w:r>
      <w:r w:rsidR="0057599E" w:rsidRPr="004B2AE6">
        <w:rPr>
          <w:sz w:val="24"/>
          <w:szCs w:val="24"/>
        </w:rPr>
        <w:t xml:space="preserve">government securities </w:t>
      </w:r>
      <w:r w:rsidR="0062297F" w:rsidRPr="004B2AE6">
        <w:rPr>
          <w:sz w:val="24"/>
          <w:szCs w:val="24"/>
        </w:rPr>
        <w:t>and their changing influence over time</w:t>
      </w:r>
      <w:r w:rsidR="00EF0805" w:rsidRPr="004B2AE6">
        <w:rPr>
          <w:sz w:val="24"/>
          <w:szCs w:val="24"/>
        </w:rPr>
        <w:t>.</w:t>
      </w:r>
      <w:r w:rsidR="0062297F" w:rsidRPr="004B2AE6">
        <w:rPr>
          <w:sz w:val="24"/>
          <w:szCs w:val="24"/>
        </w:rPr>
        <w:t xml:space="preserve"> </w:t>
      </w:r>
    </w:p>
    <w:p w:rsidR="00884810" w:rsidRPr="004B2AE6" w:rsidRDefault="001425A0" w:rsidP="00BE50DA">
      <w:pPr>
        <w:spacing w:line="360" w:lineRule="auto"/>
        <w:ind w:firstLine="360"/>
        <w:contextualSpacing/>
        <w:jc w:val="both"/>
        <w:rPr>
          <w:sz w:val="24"/>
          <w:szCs w:val="24"/>
        </w:rPr>
      </w:pPr>
      <w:r w:rsidRPr="004B2AE6">
        <w:rPr>
          <w:sz w:val="24"/>
          <w:szCs w:val="24"/>
        </w:rPr>
        <w:t>In this work we update and expand the existing literature to find how sovereign bond returns relate to the stock market and to credit and liquidity risks, before and during the European sovereign debt crisis.</w:t>
      </w:r>
      <w:r>
        <w:rPr>
          <w:sz w:val="24"/>
          <w:szCs w:val="24"/>
        </w:rPr>
        <w:t xml:space="preserve"> </w:t>
      </w:r>
      <w:r w:rsidR="00D00F18">
        <w:rPr>
          <w:sz w:val="24"/>
          <w:szCs w:val="24"/>
        </w:rPr>
        <w:t>T</w:t>
      </w:r>
      <w:r>
        <w:rPr>
          <w:sz w:val="24"/>
          <w:szCs w:val="24"/>
        </w:rPr>
        <w:t xml:space="preserve">able </w:t>
      </w:r>
      <w:r w:rsidR="00D00F18">
        <w:rPr>
          <w:sz w:val="24"/>
          <w:szCs w:val="24"/>
        </w:rPr>
        <w:t xml:space="preserve">I </w:t>
      </w:r>
      <w:r w:rsidR="00611D99">
        <w:rPr>
          <w:sz w:val="24"/>
          <w:szCs w:val="24"/>
        </w:rPr>
        <w:t xml:space="preserve">gives a stylized description of </w:t>
      </w:r>
      <w:r>
        <w:rPr>
          <w:sz w:val="24"/>
          <w:szCs w:val="24"/>
        </w:rPr>
        <w:t>one of our main findings. B</w:t>
      </w:r>
      <w:r w:rsidR="005472E3" w:rsidRPr="004B2AE6">
        <w:rPr>
          <w:sz w:val="24"/>
          <w:szCs w:val="24"/>
        </w:rPr>
        <w:t xml:space="preserve">y looking </w:t>
      </w:r>
      <w:r w:rsidR="009A11D0" w:rsidRPr="004B2AE6">
        <w:rPr>
          <w:sz w:val="24"/>
          <w:szCs w:val="24"/>
        </w:rPr>
        <w:t xml:space="preserve">at </w:t>
      </w:r>
      <w:r w:rsidR="005472E3" w:rsidRPr="004B2AE6">
        <w:rPr>
          <w:sz w:val="24"/>
          <w:szCs w:val="24"/>
        </w:rPr>
        <w:t>seve</w:t>
      </w:r>
      <w:r w:rsidR="009A11D0" w:rsidRPr="004B2AE6">
        <w:rPr>
          <w:sz w:val="24"/>
          <w:szCs w:val="24"/>
        </w:rPr>
        <w:t>ral European countries</w:t>
      </w:r>
      <w:r>
        <w:rPr>
          <w:sz w:val="24"/>
          <w:szCs w:val="24"/>
        </w:rPr>
        <w:t>,</w:t>
      </w:r>
      <w:r w:rsidR="009A11D0" w:rsidRPr="004B2AE6">
        <w:rPr>
          <w:sz w:val="24"/>
          <w:szCs w:val="24"/>
        </w:rPr>
        <w:t xml:space="preserve"> we </w:t>
      </w:r>
      <w:r w:rsidR="00D00F18">
        <w:rPr>
          <w:sz w:val="24"/>
          <w:szCs w:val="24"/>
        </w:rPr>
        <w:t xml:space="preserve">observe </w:t>
      </w:r>
      <w:r w:rsidR="009A11D0" w:rsidRPr="004B2AE6">
        <w:rPr>
          <w:sz w:val="24"/>
          <w:szCs w:val="24"/>
        </w:rPr>
        <w:t>that the correlation between stock and government bond returns becomes positive for high risk countries during the sovereign debt crisis. This suggests that bonds issued by governments with a poor credit profile are treated more like equitie</w:t>
      </w:r>
      <w:r w:rsidR="003F110C" w:rsidRPr="004B2AE6">
        <w:rPr>
          <w:sz w:val="24"/>
          <w:szCs w:val="24"/>
        </w:rPr>
        <w:t xml:space="preserve">s rather than </w:t>
      </w:r>
      <w:r w:rsidR="003F0BD3">
        <w:rPr>
          <w:sz w:val="24"/>
          <w:szCs w:val="24"/>
        </w:rPr>
        <w:t xml:space="preserve">safe </w:t>
      </w:r>
      <w:r w:rsidR="003F110C" w:rsidRPr="004B2AE6">
        <w:rPr>
          <w:sz w:val="24"/>
          <w:szCs w:val="24"/>
        </w:rPr>
        <w:t xml:space="preserve">assets </w:t>
      </w:r>
      <w:r w:rsidR="009A11D0" w:rsidRPr="004B2AE6">
        <w:rPr>
          <w:sz w:val="24"/>
          <w:szCs w:val="24"/>
        </w:rPr>
        <w:t xml:space="preserve">when economic conditions </w:t>
      </w:r>
      <w:r w:rsidR="003F0BD3">
        <w:rPr>
          <w:sz w:val="24"/>
          <w:szCs w:val="24"/>
        </w:rPr>
        <w:t>deteriorate</w:t>
      </w:r>
      <w:r w:rsidR="009A11D0" w:rsidRPr="004B2AE6">
        <w:rPr>
          <w:sz w:val="24"/>
          <w:szCs w:val="24"/>
        </w:rPr>
        <w:t xml:space="preserve">. </w:t>
      </w:r>
    </w:p>
    <w:p w:rsidR="00C624AA" w:rsidRPr="004B2AE6" w:rsidRDefault="00C624AA" w:rsidP="00BE50DA">
      <w:pPr>
        <w:spacing w:line="360" w:lineRule="auto"/>
        <w:ind w:firstLine="360"/>
        <w:contextualSpacing/>
        <w:jc w:val="both"/>
        <w:rPr>
          <w:sz w:val="24"/>
          <w:szCs w:val="24"/>
        </w:rPr>
      </w:pPr>
    </w:p>
    <w:p w:rsidR="00C624AA" w:rsidRDefault="00C624AA" w:rsidP="00BE50DA">
      <w:pPr>
        <w:spacing w:line="360" w:lineRule="auto"/>
        <w:ind w:firstLine="360"/>
        <w:contextualSpacing/>
        <w:jc w:val="center"/>
        <w:rPr>
          <w:sz w:val="24"/>
          <w:szCs w:val="24"/>
        </w:rPr>
      </w:pPr>
      <w:r w:rsidRPr="004B2AE6">
        <w:rPr>
          <w:sz w:val="24"/>
          <w:szCs w:val="24"/>
        </w:rPr>
        <w:t xml:space="preserve"> [TABLE I around here]</w:t>
      </w:r>
    </w:p>
    <w:p w:rsidR="00137030" w:rsidRPr="004B2AE6" w:rsidRDefault="00137030" w:rsidP="00BE50DA">
      <w:pPr>
        <w:spacing w:line="360" w:lineRule="auto"/>
        <w:ind w:firstLine="360"/>
        <w:contextualSpacing/>
        <w:jc w:val="center"/>
        <w:rPr>
          <w:sz w:val="24"/>
          <w:szCs w:val="24"/>
        </w:rPr>
      </w:pPr>
    </w:p>
    <w:p w:rsidR="009406CA" w:rsidRPr="004B2AE6" w:rsidRDefault="009406CA" w:rsidP="00BE50DA">
      <w:pPr>
        <w:spacing w:line="360" w:lineRule="auto"/>
        <w:ind w:firstLine="360"/>
        <w:contextualSpacing/>
        <w:jc w:val="both"/>
        <w:rPr>
          <w:sz w:val="24"/>
          <w:szCs w:val="24"/>
        </w:rPr>
      </w:pPr>
      <w:r w:rsidRPr="004B2AE6">
        <w:rPr>
          <w:sz w:val="24"/>
          <w:szCs w:val="24"/>
        </w:rPr>
        <w:t xml:space="preserve">We also explore how </w:t>
      </w:r>
      <w:r w:rsidR="00483AAF">
        <w:rPr>
          <w:sz w:val="24"/>
          <w:szCs w:val="24"/>
        </w:rPr>
        <w:t xml:space="preserve">the influence of the various risk factors of government bond returns varies </w:t>
      </w:r>
      <w:r w:rsidRPr="004B2AE6">
        <w:rPr>
          <w:sz w:val="24"/>
          <w:szCs w:val="24"/>
        </w:rPr>
        <w:t>across Euro-zone countries with different creditworthiness.</w:t>
      </w:r>
      <w:r w:rsidR="006D7F81" w:rsidRPr="004B2AE6">
        <w:rPr>
          <w:sz w:val="24"/>
          <w:szCs w:val="24"/>
        </w:rPr>
        <w:t xml:space="preserve"> </w:t>
      </w:r>
      <w:r w:rsidR="00483AAF">
        <w:rPr>
          <w:sz w:val="24"/>
          <w:szCs w:val="24"/>
        </w:rPr>
        <w:t>To do so, w</w:t>
      </w:r>
      <w:r w:rsidRPr="004B2AE6">
        <w:rPr>
          <w:sz w:val="24"/>
          <w:szCs w:val="24"/>
        </w:rPr>
        <w:t xml:space="preserve">e use an extensive set of government bond data </w:t>
      </w:r>
      <w:r w:rsidR="009A11D0" w:rsidRPr="004B2AE6">
        <w:rPr>
          <w:sz w:val="24"/>
          <w:szCs w:val="24"/>
        </w:rPr>
        <w:t xml:space="preserve">spanning </w:t>
      </w:r>
      <w:r w:rsidRPr="004B2AE6">
        <w:rPr>
          <w:sz w:val="24"/>
          <w:szCs w:val="24"/>
        </w:rPr>
        <w:t>11 Euro-</w:t>
      </w:r>
      <w:r w:rsidR="003703CB" w:rsidRPr="004B2AE6">
        <w:rPr>
          <w:sz w:val="24"/>
          <w:szCs w:val="24"/>
        </w:rPr>
        <w:t>zone countries from 2003 to 2013</w:t>
      </w:r>
      <w:r w:rsidRPr="004B2AE6">
        <w:rPr>
          <w:sz w:val="24"/>
          <w:szCs w:val="24"/>
        </w:rPr>
        <w:t>. Th</w:t>
      </w:r>
      <w:r w:rsidR="005472E3" w:rsidRPr="004B2AE6">
        <w:rPr>
          <w:sz w:val="24"/>
          <w:szCs w:val="24"/>
        </w:rPr>
        <w:t xml:space="preserve">is </w:t>
      </w:r>
      <w:r w:rsidRPr="004B2AE6">
        <w:rPr>
          <w:sz w:val="24"/>
          <w:szCs w:val="24"/>
        </w:rPr>
        <w:t xml:space="preserve">includes tick-by-tick data that </w:t>
      </w:r>
      <w:r w:rsidR="003F0BD3">
        <w:rPr>
          <w:sz w:val="24"/>
          <w:szCs w:val="24"/>
        </w:rPr>
        <w:t xml:space="preserve">enable us to </w:t>
      </w:r>
      <w:r w:rsidRPr="004B2AE6">
        <w:rPr>
          <w:sz w:val="24"/>
          <w:szCs w:val="24"/>
        </w:rPr>
        <w:t xml:space="preserve">build daily </w:t>
      </w:r>
      <w:r w:rsidR="005472E3" w:rsidRPr="004B2AE6">
        <w:rPr>
          <w:sz w:val="24"/>
          <w:szCs w:val="24"/>
        </w:rPr>
        <w:t xml:space="preserve">liquidity </w:t>
      </w:r>
      <w:r w:rsidR="00CF08B7" w:rsidRPr="004B2AE6">
        <w:rPr>
          <w:sz w:val="24"/>
          <w:szCs w:val="24"/>
        </w:rPr>
        <w:t>measures</w:t>
      </w:r>
      <w:r w:rsidR="007D61A3" w:rsidRPr="004B2AE6">
        <w:rPr>
          <w:sz w:val="24"/>
          <w:szCs w:val="24"/>
        </w:rPr>
        <w:t xml:space="preserve">. </w:t>
      </w:r>
      <w:r w:rsidR="00872711" w:rsidRPr="004B2AE6">
        <w:rPr>
          <w:sz w:val="24"/>
          <w:szCs w:val="24"/>
        </w:rPr>
        <w:t>The 2003-2013</w:t>
      </w:r>
      <w:r w:rsidRPr="004B2AE6">
        <w:rPr>
          <w:sz w:val="24"/>
          <w:szCs w:val="24"/>
        </w:rPr>
        <w:t xml:space="preserve"> time period is </w:t>
      </w:r>
      <w:r w:rsidR="0041596A" w:rsidRPr="004B2AE6">
        <w:rPr>
          <w:sz w:val="24"/>
          <w:szCs w:val="24"/>
        </w:rPr>
        <w:t>ideal</w:t>
      </w:r>
      <w:r w:rsidRPr="004B2AE6">
        <w:rPr>
          <w:sz w:val="24"/>
          <w:szCs w:val="24"/>
        </w:rPr>
        <w:t xml:space="preserve"> because it is characterised by a first phase of expansion</w:t>
      </w:r>
      <w:r w:rsidR="008415DD" w:rsidRPr="004B2AE6">
        <w:rPr>
          <w:sz w:val="24"/>
          <w:szCs w:val="24"/>
        </w:rPr>
        <w:t xml:space="preserve"> (Apr</w:t>
      </w:r>
      <w:r w:rsidR="00130737" w:rsidRPr="004B2AE6">
        <w:rPr>
          <w:sz w:val="24"/>
          <w:szCs w:val="24"/>
        </w:rPr>
        <w:t>il</w:t>
      </w:r>
      <w:r w:rsidR="008415DD" w:rsidRPr="004B2AE6">
        <w:rPr>
          <w:sz w:val="24"/>
          <w:szCs w:val="24"/>
        </w:rPr>
        <w:t xml:space="preserve"> 2003 to Jul</w:t>
      </w:r>
      <w:r w:rsidR="00130737" w:rsidRPr="004B2AE6">
        <w:rPr>
          <w:sz w:val="24"/>
          <w:szCs w:val="24"/>
        </w:rPr>
        <w:t>y</w:t>
      </w:r>
      <w:r w:rsidR="008415DD" w:rsidRPr="004B2AE6">
        <w:rPr>
          <w:sz w:val="24"/>
          <w:szCs w:val="24"/>
        </w:rPr>
        <w:t xml:space="preserve"> 2007)</w:t>
      </w:r>
      <w:r w:rsidRPr="004B2AE6">
        <w:rPr>
          <w:sz w:val="24"/>
          <w:szCs w:val="24"/>
        </w:rPr>
        <w:t xml:space="preserve"> and a second</w:t>
      </w:r>
      <w:r w:rsidR="00872711" w:rsidRPr="004B2AE6">
        <w:rPr>
          <w:sz w:val="24"/>
          <w:szCs w:val="24"/>
        </w:rPr>
        <w:t xml:space="preserve"> phase</w:t>
      </w:r>
      <w:r w:rsidRPr="004B2AE6">
        <w:rPr>
          <w:sz w:val="24"/>
          <w:szCs w:val="24"/>
        </w:rPr>
        <w:t xml:space="preserve"> of contraction in which two distinct </w:t>
      </w:r>
      <w:r w:rsidR="005472E3" w:rsidRPr="004B2AE6">
        <w:rPr>
          <w:sz w:val="24"/>
          <w:szCs w:val="24"/>
        </w:rPr>
        <w:t>sub-</w:t>
      </w:r>
      <w:r w:rsidRPr="004B2AE6">
        <w:rPr>
          <w:sz w:val="24"/>
          <w:szCs w:val="24"/>
        </w:rPr>
        <w:t>periods of instability can be identified, the subprime crisis</w:t>
      </w:r>
      <w:r w:rsidR="008415DD" w:rsidRPr="004B2AE6">
        <w:rPr>
          <w:sz w:val="24"/>
          <w:szCs w:val="24"/>
        </w:rPr>
        <w:t xml:space="preserve"> (Aug</w:t>
      </w:r>
      <w:r w:rsidR="00130737" w:rsidRPr="004B2AE6">
        <w:rPr>
          <w:sz w:val="24"/>
          <w:szCs w:val="24"/>
        </w:rPr>
        <w:t>ust 2007 to December</w:t>
      </w:r>
      <w:r w:rsidR="008415DD" w:rsidRPr="004B2AE6">
        <w:rPr>
          <w:sz w:val="24"/>
          <w:szCs w:val="24"/>
        </w:rPr>
        <w:t xml:space="preserve"> 2009)</w:t>
      </w:r>
      <w:r w:rsidRPr="004B2AE6">
        <w:rPr>
          <w:sz w:val="24"/>
          <w:szCs w:val="24"/>
        </w:rPr>
        <w:t xml:space="preserve"> and </w:t>
      </w:r>
      <w:r w:rsidR="005472E3" w:rsidRPr="004B2AE6">
        <w:rPr>
          <w:sz w:val="24"/>
          <w:szCs w:val="24"/>
        </w:rPr>
        <w:t xml:space="preserve">the </w:t>
      </w:r>
      <w:r w:rsidRPr="004B2AE6">
        <w:rPr>
          <w:sz w:val="24"/>
          <w:szCs w:val="24"/>
        </w:rPr>
        <w:t>sovereign crisis</w:t>
      </w:r>
      <w:r w:rsidR="008415DD" w:rsidRPr="004B2AE6">
        <w:rPr>
          <w:sz w:val="24"/>
          <w:szCs w:val="24"/>
        </w:rPr>
        <w:t xml:space="preserve"> (Jan</w:t>
      </w:r>
      <w:r w:rsidR="00130737" w:rsidRPr="004B2AE6">
        <w:rPr>
          <w:sz w:val="24"/>
          <w:szCs w:val="24"/>
        </w:rPr>
        <w:t>uary</w:t>
      </w:r>
      <w:r w:rsidR="008415DD" w:rsidRPr="004B2AE6">
        <w:rPr>
          <w:sz w:val="24"/>
          <w:szCs w:val="24"/>
        </w:rPr>
        <w:t xml:space="preserve"> 2010 to Dec</w:t>
      </w:r>
      <w:r w:rsidR="00130737" w:rsidRPr="004B2AE6">
        <w:rPr>
          <w:sz w:val="24"/>
          <w:szCs w:val="24"/>
        </w:rPr>
        <w:t>ember</w:t>
      </w:r>
      <w:r w:rsidR="008415DD" w:rsidRPr="004B2AE6">
        <w:rPr>
          <w:sz w:val="24"/>
          <w:szCs w:val="24"/>
        </w:rPr>
        <w:t xml:space="preserve"> 2013)</w:t>
      </w:r>
      <w:r w:rsidRPr="004B2AE6">
        <w:rPr>
          <w:sz w:val="24"/>
          <w:szCs w:val="24"/>
        </w:rPr>
        <w:t xml:space="preserve">. </w:t>
      </w:r>
    </w:p>
    <w:p w:rsidR="00D923A1" w:rsidRPr="004B2AE6" w:rsidRDefault="009406CA" w:rsidP="00BE50DA">
      <w:pPr>
        <w:spacing w:line="360" w:lineRule="auto"/>
        <w:ind w:firstLine="360"/>
        <w:contextualSpacing/>
        <w:jc w:val="both"/>
        <w:rPr>
          <w:sz w:val="24"/>
          <w:szCs w:val="24"/>
        </w:rPr>
      </w:pPr>
      <w:r w:rsidRPr="004B2AE6">
        <w:rPr>
          <w:sz w:val="24"/>
          <w:szCs w:val="24"/>
        </w:rPr>
        <w:t xml:space="preserve">We </w:t>
      </w:r>
      <w:r w:rsidR="00483AAF">
        <w:rPr>
          <w:sz w:val="24"/>
          <w:szCs w:val="24"/>
        </w:rPr>
        <w:t xml:space="preserve">obtain </w:t>
      </w:r>
      <w:r w:rsidRPr="004B2AE6">
        <w:rPr>
          <w:sz w:val="24"/>
          <w:szCs w:val="24"/>
        </w:rPr>
        <w:t xml:space="preserve">several interesting </w:t>
      </w:r>
      <w:r w:rsidR="00483AAF">
        <w:rPr>
          <w:sz w:val="24"/>
          <w:szCs w:val="24"/>
        </w:rPr>
        <w:t>findings</w:t>
      </w:r>
      <w:r w:rsidRPr="004B2AE6">
        <w:rPr>
          <w:sz w:val="24"/>
          <w:szCs w:val="24"/>
        </w:rPr>
        <w:t xml:space="preserve">. First, credit risk does not appear to be priced </w:t>
      </w:r>
      <w:r w:rsidR="007F2D07" w:rsidRPr="004B2AE6">
        <w:rPr>
          <w:sz w:val="24"/>
          <w:szCs w:val="24"/>
        </w:rPr>
        <w:t xml:space="preserve">before the </w:t>
      </w:r>
      <w:r w:rsidR="00483AAF">
        <w:rPr>
          <w:sz w:val="24"/>
          <w:szCs w:val="24"/>
        </w:rPr>
        <w:t xml:space="preserve">subprime </w:t>
      </w:r>
      <w:r w:rsidR="007F2D07" w:rsidRPr="004B2AE6">
        <w:rPr>
          <w:sz w:val="24"/>
          <w:szCs w:val="24"/>
        </w:rPr>
        <w:t xml:space="preserve">crisis but is important </w:t>
      </w:r>
      <w:r w:rsidRPr="004B2AE6">
        <w:rPr>
          <w:sz w:val="24"/>
          <w:szCs w:val="24"/>
        </w:rPr>
        <w:t>during the sovereign crisis period.</w:t>
      </w:r>
      <w:r w:rsidR="00D923A1" w:rsidRPr="004B2AE6">
        <w:rPr>
          <w:sz w:val="24"/>
          <w:szCs w:val="24"/>
        </w:rPr>
        <w:t xml:space="preserve"> </w:t>
      </w:r>
      <w:r w:rsidR="004B3850">
        <w:rPr>
          <w:sz w:val="24"/>
          <w:szCs w:val="24"/>
        </w:rPr>
        <w:t>T</w:t>
      </w:r>
      <w:r w:rsidRPr="004B2AE6">
        <w:rPr>
          <w:sz w:val="24"/>
          <w:szCs w:val="24"/>
        </w:rPr>
        <w:t>he credit risk factor</w:t>
      </w:r>
      <w:r w:rsidR="004B3850">
        <w:rPr>
          <w:sz w:val="24"/>
          <w:szCs w:val="24"/>
        </w:rPr>
        <w:t xml:space="preserve">, which we proxy with changes in </w:t>
      </w:r>
      <w:r w:rsidR="004B3850" w:rsidRPr="004B2AE6">
        <w:rPr>
          <w:sz w:val="24"/>
          <w:szCs w:val="24"/>
        </w:rPr>
        <w:t xml:space="preserve">5-year </w:t>
      </w:r>
      <w:r w:rsidR="004B3850">
        <w:rPr>
          <w:sz w:val="24"/>
          <w:szCs w:val="24"/>
        </w:rPr>
        <w:t xml:space="preserve">sovereign </w:t>
      </w:r>
      <w:r w:rsidR="004B3850" w:rsidRPr="004B2AE6">
        <w:rPr>
          <w:sz w:val="24"/>
          <w:szCs w:val="24"/>
        </w:rPr>
        <w:t>CDS price</w:t>
      </w:r>
      <w:r w:rsidR="004B3850">
        <w:rPr>
          <w:sz w:val="24"/>
          <w:szCs w:val="24"/>
        </w:rPr>
        <w:t>s,</w:t>
      </w:r>
      <w:r w:rsidRPr="004B2AE6">
        <w:rPr>
          <w:sz w:val="24"/>
          <w:szCs w:val="24"/>
        </w:rPr>
        <w:t xml:space="preserve"> is positively related </w:t>
      </w:r>
      <w:r w:rsidRPr="004B2AE6">
        <w:rPr>
          <w:sz w:val="24"/>
          <w:szCs w:val="24"/>
        </w:rPr>
        <w:lastRenderedPageBreak/>
        <w:t xml:space="preserve">with bond returns </w:t>
      </w:r>
      <w:r w:rsidR="008859AC" w:rsidRPr="004B2AE6">
        <w:rPr>
          <w:sz w:val="24"/>
          <w:szCs w:val="24"/>
        </w:rPr>
        <w:t xml:space="preserve">when a country is perceived to have a </w:t>
      </w:r>
      <w:r w:rsidRPr="004B2AE6">
        <w:rPr>
          <w:sz w:val="24"/>
          <w:szCs w:val="24"/>
        </w:rPr>
        <w:t>low risk of default</w:t>
      </w:r>
      <w:r w:rsidR="008859AC" w:rsidRPr="004B2AE6">
        <w:rPr>
          <w:sz w:val="24"/>
          <w:szCs w:val="24"/>
        </w:rPr>
        <w:t>. On the other hand, this relationship</w:t>
      </w:r>
      <w:r w:rsidRPr="004B2AE6">
        <w:rPr>
          <w:sz w:val="24"/>
          <w:szCs w:val="24"/>
        </w:rPr>
        <w:t xml:space="preserve"> </w:t>
      </w:r>
      <w:r w:rsidR="008859AC" w:rsidRPr="004B2AE6">
        <w:rPr>
          <w:sz w:val="24"/>
          <w:szCs w:val="24"/>
        </w:rPr>
        <w:t>turns</w:t>
      </w:r>
      <w:r w:rsidRPr="004B2AE6">
        <w:rPr>
          <w:sz w:val="24"/>
          <w:szCs w:val="24"/>
        </w:rPr>
        <w:t xml:space="preserve"> negative </w:t>
      </w:r>
      <w:r w:rsidR="008859AC" w:rsidRPr="004B2AE6">
        <w:rPr>
          <w:sz w:val="24"/>
          <w:szCs w:val="24"/>
        </w:rPr>
        <w:t>as country default risk</w:t>
      </w:r>
      <w:r w:rsidRPr="004B2AE6">
        <w:rPr>
          <w:sz w:val="24"/>
          <w:szCs w:val="24"/>
        </w:rPr>
        <w:t xml:space="preserve"> </w:t>
      </w:r>
      <w:r w:rsidR="008859AC" w:rsidRPr="004B2AE6">
        <w:rPr>
          <w:sz w:val="24"/>
          <w:szCs w:val="24"/>
        </w:rPr>
        <w:t>increases</w:t>
      </w:r>
      <w:r w:rsidRPr="004B2AE6">
        <w:rPr>
          <w:sz w:val="24"/>
          <w:szCs w:val="24"/>
        </w:rPr>
        <w:t xml:space="preserve">. This is supporting evidence of </w:t>
      </w:r>
      <w:r w:rsidR="00D923A1" w:rsidRPr="004B2AE6">
        <w:rPr>
          <w:sz w:val="24"/>
          <w:szCs w:val="24"/>
        </w:rPr>
        <w:t>a strong</w:t>
      </w:r>
      <w:r w:rsidRPr="004B2AE6">
        <w:rPr>
          <w:sz w:val="24"/>
          <w:szCs w:val="24"/>
        </w:rPr>
        <w:t xml:space="preserve"> flight-to-quality phenomenon</w:t>
      </w:r>
      <w:r w:rsidR="00D923A1" w:rsidRPr="004B2AE6">
        <w:rPr>
          <w:sz w:val="24"/>
          <w:szCs w:val="24"/>
        </w:rPr>
        <w:t xml:space="preserve"> from high risk countries to low risk countries</w:t>
      </w:r>
      <w:r w:rsidRPr="004B2AE6">
        <w:rPr>
          <w:sz w:val="24"/>
          <w:szCs w:val="24"/>
        </w:rPr>
        <w:t>.</w:t>
      </w:r>
      <w:r w:rsidR="00D923A1" w:rsidRPr="004B2AE6">
        <w:rPr>
          <w:sz w:val="24"/>
          <w:szCs w:val="24"/>
        </w:rPr>
        <w:t xml:space="preserve"> Credit risk affects negatively more and more countries as the financial crisis intensifies. </w:t>
      </w:r>
      <w:r w:rsidRPr="004B2AE6">
        <w:rPr>
          <w:sz w:val="24"/>
          <w:szCs w:val="24"/>
        </w:rPr>
        <w:t xml:space="preserve"> </w:t>
      </w:r>
    </w:p>
    <w:p w:rsidR="009406CA" w:rsidRPr="004B2AE6" w:rsidRDefault="009406CA" w:rsidP="00BE50DA">
      <w:pPr>
        <w:spacing w:line="360" w:lineRule="auto"/>
        <w:ind w:firstLine="360"/>
        <w:contextualSpacing/>
        <w:jc w:val="both"/>
        <w:rPr>
          <w:sz w:val="24"/>
          <w:szCs w:val="24"/>
        </w:rPr>
      </w:pPr>
      <w:r w:rsidRPr="004B2AE6">
        <w:rPr>
          <w:sz w:val="24"/>
          <w:szCs w:val="24"/>
        </w:rPr>
        <w:t>Second, market liquidity risk also becomes statistically significant during the</w:t>
      </w:r>
      <w:r w:rsidR="008859AC" w:rsidRPr="004B2AE6">
        <w:rPr>
          <w:sz w:val="24"/>
          <w:szCs w:val="24"/>
        </w:rPr>
        <w:t xml:space="preserve"> subprime and</w:t>
      </w:r>
      <w:r w:rsidRPr="004B2AE6">
        <w:rPr>
          <w:sz w:val="24"/>
          <w:szCs w:val="24"/>
        </w:rPr>
        <w:t xml:space="preserve"> sovereign crisis period</w:t>
      </w:r>
      <w:r w:rsidR="008859AC" w:rsidRPr="004B2AE6">
        <w:rPr>
          <w:sz w:val="24"/>
          <w:szCs w:val="24"/>
        </w:rPr>
        <w:t>s</w:t>
      </w:r>
      <w:r w:rsidRPr="004B2AE6">
        <w:rPr>
          <w:sz w:val="24"/>
          <w:szCs w:val="24"/>
        </w:rPr>
        <w:t>.</w:t>
      </w:r>
      <w:r w:rsidR="008859AC" w:rsidRPr="004B2AE6">
        <w:rPr>
          <w:sz w:val="24"/>
          <w:szCs w:val="24"/>
        </w:rPr>
        <w:t xml:space="preserve"> However, this factor only affects countries that have run in</w:t>
      </w:r>
      <w:r w:rsidR="00673D79" w:rsidRPr="004B2AE6">
        <w:rPr>
          <w:sz w:val="24"/>
          <w:szCs w:val="24"/>
        </w:rPr>
        <w:t xml:space="preserve">to financial difficulties or </w:t>
      </w:r>
      <w:r w:rsidR="007F2D07" w:rsidRPr="004B2AE6">
        <w:rPr>
          <w:sz w:val="24"/>
          <w:szCs w:val="24"/>
        </w:rPr>
        <w:t xml:space="preserve">are likely to be unable to service their </w:t>
      </w:r>
      <w:r w:rsidR="00673D79" w:rsidRPr="004B2AE6">
        <w:rPr>
          <w:sz w:val="24"/>
          <w:szCs w:val="24"/>
        </w:rPr>
        <w:t xml:space="preserve">debt. </w:t>
      </w:r>
      <w:r w:rsidR="009C2A6C">
        <w:rPr>
          <w:sz w:val="24"/>
          <w:szCs w:val="24"/>
        </w:rPr>
        <w:t>For these, t</w:t>
      </w:r>
      <w:r w:rsidR="00673D79" w:rsidRPr="004B2AE6">
        <w:rPr>
          <w:sz w:val="24"/>
          <w:szCs w:val="24"/>
        </w:rPr>
        <w:t>he liquidity risk factor</w:t>
      </w:r>
      <w:r w:rsidR="006B7EF2" w:rsidRPr="004B2AE6">
        <w:rPr>
          <w:sz w:val="24"/>
          <w:szCs w:val="24"/>
        </w:rPr>
        <w:t>, measured by</w:t>
      </w:r>
      <w:r w:rsidR="00CB321E" w:rsidRPr="004B2AE6">
        <w:rPr>
          <w:sz w:val="24"/>
          <w:szCs w:val="24"/>
        </w:rPr>
        <w:t xml:space="preserve"> changes of</w:t>
      </w:r>
      <w:r w:rsidR="006B7EF2" w:rsidRPr="004B2AE6">
        <w:rPr>
          <w:sz w:val="24"/>
          <w:szCs w:val="24"/>
        </w:rPr>
        <w:t xml:space="preserve"> bond specific bid-ask spread</w:t>
      </w:r>
      <w:r w:rsidR="00475E39" w:rsidRPr="004B2AE6">
        <w:rPr>
          <w:sz w:val="24"/>
          <w:szCs w:val="24"/>
        </w:rPr>
        <w:t>s</w:t>
      </w:r>
      <w:r w:rsidR="006B7EF2" w:rsidRPr="004B2AE6">
        <w:rPr>
          <w:sz w:val="24"/>
          <w:szCs w:val="24"/>
        </w:rPr>
        <w:t xml:space="preserve">, </w:t>
      </w:r>
      <w:r w:rsidR="009C2A6C">
        <w:rPr>
          <w:sz w:val="24"/>
          <w:szCs w:val="24"/>
        </w:rPr>
        <w:t xml:space="preserve">is negatively correlated with </w:t>
      </w:r>
      <w:r w:rsidR="00CF08B7" w:rsidRPr="004B2AE6">
        <w:rPr>
          <w:sz w:val="24"/>
          <w:szCs w:val="24"/>
        </w:rPr>
        <w:t>sovereign bond returns</w:t>
      </w:r>
      <w:r w:rsidR="006B7EF2" w:rsidRPr="004B2AE6">
        <w:rPr>
          <w:sz w:val="24"/>
          <w:szCs w:val="24"/>
        </w:rPr>
        <w:t xml:space="preserve"> and</w:t>
      </w:r>
      <w:r w:rsidR="00673D79" w:rsidRPr="004B2AE6">
        <w:rPr>
          <w:sz w:val="24"/>
          <w:szCs w:val="24"/>
        </w:rPr>
        <w:t xml:space="preserve"> is not persistent</w:t>
      </w:r>
      <w:r w:rsidR="006B7EF2" w:rsidRPr="004B2AE6">
        <w:rPr>
          <w:sz w:val="24"/>
          <w:szCs w:val="24"/>
        </w:rPr>
        <w:t xml:space="preserve"> as</w:t>
      </w:r>
      <w:r w:rsidR="00673D79" w:rsidRPr="004B2AE6">
        <w:rPr>
          <w:sz w:val="24"/>
          <w:szCs w:val="24"/>
        </w:rPr>
        <w:t xml:space="preserve"> </w:t>
      </w:r>
      <w:r w:rsidR="006B7EF2" w:rsidRPr="004B2AE6">
        <w:rPr>
          <w:sz w:val="24"/>
          <w:szCs w:val="24"/>
        </w:rPr>
        <w:t>it</w:t>
      </w:r>
      <w:r w:rsidR="00673D79" w:rsidRPr="004B2AE6">
        <w:rPr>
          <w:sz w:val="24"/>
          <w:szCs w:val="24"/>
        </w:rPr>
        <w:t xml:space="preserve"> dies out in the second half of the </w:t>
      </w:r>
      <w:r w:rsidR="006B7EF2" w:rsidRPr="004B2AE6">
        <w:rPr>
          <w:sz w:val="24"/>
          <w:szCs w:val="24"/>
        </w:rPr>
        <w:t xml:space="preserve">sovereign crisis period. </w:t>
      </w:r>
      <w:r w:rsidR="009C2A6C">
        <w:rPr>
          <w:sz w:val="24"/>
          <w:szCs w:val="24"/>
        </w:rPr>
        <w:t xml:space="preserve">This suggests a “flight away from illiquidity” </w:t>
      </w:r>
      <w:r w:rsidR="001804AD">
        <w:rPr>
          <w:sz w:val="24"/>
          <w:szCs w:val="24"/>
        </w:rPr>
        <w:t xml:space="preserve">at the beginning of the sovereign </w:t>
      </w:r>
      <w:r w:rsidR="00A95236">
        <w:rPr>
          <w:sz w:val="24"/>
          <w:szCs w:val="24"/>
        </w:rPr>
        <w:t>crisis that has subsided in more recent years.</w:t>
      </w:r>
    </w:p>
    <w:p w:rsidR="000A6553" w:rsidRPr="004B2AE6" w:rsidRDefault="00483AAF" w:rsidP="00BE50DA">
      <w:pPr>
        <w:spacing w:line="360" w:lineRule="auto"/>
        <w:ind w:firstLine="360"/>
        <w:contextualSpacing/>
        <w:jc w:val="both"/>
        <w:rPr>
          <w:sz w:val="24"/>
          <w:szCs w:val="24"/>
        </w:rPr>
      </w:pPr>
      <w:r>
        <w:rPr>
          <w:sz w:val="24"/>
          <w:szCs w:val="24"/>
        </w:rPr>
        <w:t>In addition</w:t>
      </w:r>
      <w:r w:rsidR="000A6553" w:rsidRPr="004B2AE6">
        <w:rPr>
          <w:sz w:val="24"/>
          <w:szCs w:val="24"/>
        </w:rPr>
        <w:t xml:space="preserve">, </w:t>
      </w:r>
      <w:r w:rsidR="009D4AEB">
        <w:rPr>
          <w:sz w:val="24"/>
          <w:szCs w:val="24"/>
        </w:rPr>
        <w:t xml:space="preserve">we document a strong segmentation in the European bond market between </w:t>
      </w:r>
      <w:r w:rsidR="009D4AEB" w:rsidRPr="004B2AE6">
        <w:rPr>
          <w:sz w:val="24"/>
          <w:szCs w:val="24"/>
        </w:rPr>
        <w:t>low risk countries and high risk countries</w:t>
      </w:r>
      <w:r w:rsidR="000B591B">
        <w:rPr>
          <w:sz w:val="24"/>
          <w:szCs w:val="24"/>
        </w:rPr>
        <w:t xml:space="preserve"> that occurs rather abruptly with the onset of the sovereign debt crisis</w:t>
      </w:r>
      <w:r w:rsidR="009D4AEB">
        <w:rPr>
          <w:sz w:val="24"/>
          <w:szCs w:val="24"/>
        </w:rPr>
        <w:t xml:space="preserve">. </w:t>
      </w:r>
      <w:r w:rsidR="000B591B">
        <w:rPr>
          <w:sz w:val="24"/>
          <w:szCs w:val="24"/>
        </w:rPr>
        <w:t xml:space="preserve">This echoes the lower level of market integration observed by </w:t>
      </w:r>
      <w:r w:rsidR="00060F0B">
        <w:rPr>
          <w:sz w:val="24"/>
          <w:szCs w:val="24"/>
        </w:rPr>
        <w:t>Christiansen</w:t>
      </w:r>
      <w:r w:rsidR="000B591B" w:rsidRPr="004B2AE6">
        <w:rPr>
          <w:sz w:val="24"/>
          <w:szCs w:val="24"/>
        </w:rPr>
        <w:t xml:space="preserve"> </w:t>
      </w:r>
      <w:r w:rsidR="000B591B">
        <w:rPr>
          <w:sz w:val="24"/>
          <w:szCs w:val="24"/>
        </w:rPr>
        <w:t>(</w:t>
      </w:r>
      <w:r w:rsidR="000B591B" w:rsidRPr="004B2AE6">
        <w:rPr>
          <w:sz w:val="24"/>
          <w:szCs w:val="24"/>
        </w:rPr>
        <w:t>2014</w:t>
      </w:r>
      <w:r w:rsidR="000B591B">
        <w:rPr>
          <w:sz w:val="24"/>
          <w:szCs w:val="24"/>
        </w:rPr>
        <w:t>)</w:t>
      </w:r>
      <w:r w:rsidR="005E663A">
        <w:rPr>
          <w:sz w:val="24"/>
          <w:szCs w:val="24"/>
        </w:rPr>
        <w:t xml:space="preserve"> in the same period</w:t>
      </w:r>
      <w:r w:rsidR="000B591B">
        <w:rPr>
          <w:sz w:val="24"/>
          <w:szCs w:val="24"/>
        </w:rPr>
        <w:t xml:space="preserve">. We find that as the </w:t>
      </w:r>
      <w:r w:rsidR="0090267C" w:rsidRPr="004B2AE6">
        <w:rPr>
          <w:sz w:val="24"/>
          <w:szCs w:val="24"/>
        </w:rPr>
        <w:t>correlation</w:t>
      </w:r>
      <w:r w:rsidR="00770AF1" w:rsidRPr="004B2AE6">
        <w:rPr>
          <w:sz w:val="24"/>
          <w:szCs w:val="24"/>
        </w:rPr>
        <w:t xml:space="preserve"> in bond returns</w:t>
      </w:r>
      <w:r w:rsidR="0090267C" w:rsidRPr="004B2AE6">
        <w:rPr>
          <w:sz w:val="24"/>
          <w:szCs w:val="24"/>
        </w:rPr>
        <w:t xml:space="preserve"> between low and high risk countries </w:t>
      </w:r>
      <w:r w:rsidR="000B591B">
        <w:rPr>
          <w:sz w:val="24"/>
          <w:szCs w:val="24"/>
        </w:rPr>
        <w:t xml:space="preserve">moves from strongly positive to negative, the stronger diversification gains </w:t>
      </w:r>
      <w:r w:rsidR="005E663A">
        <w:rPr>
          <w:sz w:val="24"/>
          <w:szCs w:val="24"/>
        </w:rPr>
        <w:t>are reaped by investors specialised in government securities as well as diversified funds and investors with a low appetite for risk (e.g. pension funds).</w:t>
      </w:r>
      <w:r w:rsidR="0090267C" w:rsidRPr="004B2AE6">
        <w:rPr>
          <w:sz w:val="24"/>
          <w:szCs w:val="24"/>
        </w:rPr>
        <w:t xml:space="preserve"> This contrasts</w:t>
      </w:r>
      <w:r w:rsidR="00770AF1" w:rsidRPr="004B2AE6">
        <w:rPr>
          <w:sz w:val="24"/>
          <w:szCs w:val="24"/>
        </w:rPr>
        <w:t xml:space="preserve"> </w:t>
      </w:r>
      <w:r w:rsidR="005E663A">
        <w:rPr>
          <w:sz w:val="24"/>
          <w:szCs w:val="24"/>
        </w:rPr>
        <w:t xml:space="preserve">with equity </w:t>
      </w:r>
      <w:r w:rsidR="00A73C31">
        <w:rPr>
          <w:sz w:val="24"/>
          <w:szCs w:val="24"/>
        </w:rPr>
        <w:t xml:space="preserve">portfolios </w:t>
      </w:r>
      <w:r w:rsidR="005E663A">
        <w:rPr>
          <w:sz w:val="24"/>
          <w:szCs w:val="24"/>
        </w:rPr>
        <w:t xml:space="preserve">which </w:t>
      </w:r>
      <w:r w:rsidR="00A73C31">
        <w:rPr>
          <w:sz w:val="24"/>
          <w:szCs w:val="24"/>
        </w:rPr>
        <w:t>achieve consistently low diversification gains throughout our observation period</w:t>
      </w:r>
      <w:r w:rsidR="00770AF1" w:rsidRPr="004B2AE6">
        <w:rPr>
          <w:sz w:val="24"/>
          <w:szCs w:val="24"/>
        </w:rPr>
        <w:t xml:space="preserve">.  </w:t>
      </w:r>
      <w:r w:rsidR="0090267C" w:rsidRPr="004B2AE6">
        <w:rPr>
          <w:sz w:val="24"/>
          <w:szCs w:val="24"/>
        </w:rPr>
        <w:t xml:space="preserve">       </w:t>
      </w:r>
      <w:r w:rsidR="000A6553" w:rsidRPr="004B2AE6">
        <w:rPr>
          <w:sz w:val="24"/>
          <w:szCs w:val="24"/>
        </w:rPr>
        <w:t xml:space="preserve">   </w:t>
      </w:r>
    </w:p>
    <w:p w:rsidR="009406CA" w:rsidRPr="004B2AE6" w:rsidRDefault="009406CA" w:rsidP="00BE50DA">
      <w:pPr>
        <w:spacing w:line="360" w:lineRule="auto"/>
        <w:ind w:firstLine="360"/>
        <w:contextualSpacing/>
        <w:jc w:val="both"/>
        <w:rPr>
          <w:sz w:val="24"/>
          <w:szCs w:val="24"/>
        </w:rPr>
      </w:pPr>
      <w:r w:rsidRPr="004B2AE6">
        <w:rPr>
          <w:sz w:val="24"/>
          <w:szCs w:val="24"/>
        </w:rPr>
        <w:t xml:space="preserve">The rest of the paper is organised as follows. </w:t>
      </w:r>
      <w:r w:rsidR="00A73C31">
        <w:rPr>
          <w:sz w:val="24"/>
          <w:szCs w:val="24"/>
        </w:rPr>
        <w:t xml:space="preserve">In </w:t>
      </w:r>
      <w:r w:rsidRPr="004B2AE6">
        <w:rPr>
          <w:sz w:val="24"/>
          <w:szCs w:val="24"/>
        </w:rPr>
        <w:t xml:space="preserve">Section 2 </w:t>
      </w:r>
      <w:r w:rsidR="00A73C31">
        <w:rPr>
          <w:sz w:val="24"/>
          <w:szCs w:val="24"/>
        </w:rPr>
        <w:t xml:space="preserve">we </w:t>
      </w:r>
      <w:r w:rsidRPr="004B2AE6">
        <w:rPr>
          <w:sz w:val="24"/>
          <w:szCs w:val="24"/>
        </w:rPr>
        <w:t xml:space="preserve">review the literature. Section 3 </w:t>
      </w:r>
      <w:r w:rsidR="00A73C31">
        <w:rPr>
          <w:sz w:val="24"/>
          <w:szCs w:val="24"/>
        </w:rPr>
        <w:t>is a description of our data</w:t>
      </w:r>
      <w:r w:rsidRPr="004B2AE6">
        <w:rPr>
          <w:sz w:val="24"/>
          <w:szCs w:val="24"/>
        </w:rPr>
        <w:t>. Variables description</w:t>
      </w:r>
      <w:r w:rsidR="00A73C31">
        <w:rPr>
          <w:sz w:val="24"/>
          <w:szCs w:val="24"/>
        </w:rPr>
        <w:t xml:space="preserve"> and </w:t>
      </w:r>
      <w:r w:rsidRPr="004B2AE6">
        <w:rPr>
          <w:sz w:val="24"/>
          <w:szCs w:val="24"/>
        </w:rPr>
        <w:t xml:space="preserve">model specification </w:t>
      </w:r>
      <w:r w:rsidR="00A73C31">
        <w:rPr>
          <w:sz w:val="24"/>
          <w:szCs w:val="24"/>
        </w:rPr>
        <w:t>are presented in Section 4. In Sections 5 and 6 we discuss our results and robustness tests</w:t>
      </w:r>
      <w:r w:rsidRPr="004B2AE6">
        <w:rPr>
          <w:sz w:val="24"/>
          <w:szCs w:val="24"/>
        </w:rPr>
        <w:t xml:space="preserve">. Section </w:t>
      </w:r>
      <w:r w:rsidR="00BE50DA">
        <w:rPr>
          <w:sz w:val="24"/>
          <w:szCs w:val="24"/>
        </w:rPr>
        <w:t>7</w:t>
      </w:r>
      <w:r w:rsidRPr="004B2AE6">
        <w:rPr>
          <w:sz w:val="24"/>
          <w:szCs w:val="24"/>
        </w:rPr>
        <w:t xml:space="preserve"> concludes the paper.</w:t>
      </w:r>
    </w:p>
    <w:p w:rsidR="00C624AA" w:rsidRPr="004B2AE6" w:rsidRDefault="00C624AA" w:rsidP="00BE50DA">
      <w:pPr>
        <w:spacing w:line="360" w:lineRule="auto"/>
        <w:contextualSpacing/>
        <w:jc w:val="both"/>
        <w:rPr>
          <w:sz w:val="24"/>
          <w:szCs w:val="24"/>
        </w:rPr>
      </w:pPr>
    </w:p>
    <w:p w:rsidR="009406CA" w:rsidRPr="004B2AE6" w:rsidRDefault="009406CA" w:rsidP="00BE50DA">
      <w:pPr>
        <w:pStyle w:val="Paragrafoelenco"/>
        <w:numPr>
          <w:ilvl w:val="0"/>
          <w:numId w:val="1"/>
        </w:numPr>
        <w:spacing w:line="360" w:lineRule="auto"/>
        <w:rPr>
          <w:sz w:val="24"/>
          <w:szCs w:val="24"/>
        </w:rPr>
      </w:pPr>
      <w:r w:rsidRPr="004B2AE6">
        <w:rPr>
          <w:sz w:val="24"/>
          <w:szCs w:val="24"/>
        </w:rPr>
        <w:t>Literature review</w:t>
      </w:r>
    </w:p>
    <w:p w:rsidR="00B119D1" w:rsidRPr="00B652C1" w:rsidRDefault="005C2337" w:rsidP="00406AE3">
      <w:pPr>
        <w:spacing w:line="360" w:lineRule="auto"/>
        <w:ind w:firstLine="360"/>
        <w:contextualSpacing/>
        <w:jc w:val="both"/>
        <w:rPr>
          <w:sz w:val="24"/>
          <w:szCs w:val="24"/>
        </w:rPr>
      </w:pPr>
      <w:r w:rsidRPr="00B652C1">
        <w:rPr>
          <w:sz w:val="24"/>
          <w:szCs w:val="24"/>
        </w:rPr>
        <w:t xml:space="preserve">Fama and French (1993) are among the first who </w:t>
      </w:r>
      <w:r w:rsidR="00611D99" w:rsidRPr="00B652C1">
        <w:rPr>
          <w:sz w:val="24"/>
          <w:szCs w:val="24"/>
        </w:rPr>
        <w:t>study the determinants of government bond returns through a multifactor model that includes equity risk and default risk.</w:t>
      </w:r>
      <w:r w:rsidR="00436A90" w:rsidRPr="00B652C1">
        <w:rPr>
          <w:sz w:val="24"/>
          <w:szCs w:val="24"/>
        </w:rPr>
        <w:t xml:space="preserve"> </w:t>
      </w:r>
      <w:r w:rsidR="008A2B0C" w:rsidRPr="00B652C1">
        <w:rPr>
          <w:sz w:val="24"/>
          <w:szCs w:val="24"/>
        </w:rPr>
        <w:t>T</w:t>
      </w:r>
      <w:r w:rsidR="00D00271" w:rsidRPr="00B652C1">
        <w:rPr>
          <w:sz w:val="24"/>
          <w:szCs w:val="24"/>
        </w:rPr>
        <w:t xml:space="preserve">hey find that </w:t>
      </w:r>
      <w:r w:rsidR="00406AE3" w:rsidRPr="00B652C1">
        <w:rPr>
          <w:sz w:val="24"/>
          <w:szCs w:val="24"/>
        </w:rPr>
        <w:t>monthly returns of bond portfolios load positively on</w:t>
      </w:r>
      <w:r w:rsidR="00436A90" w:rsidRPr="00B652C1">
        <w:rPr>
          <w:sz w:val="24"/>
          <w:szCs w:val="24"/>
        </w:rPr>
        <w:t xml:space="preserve"> the stock market portfolio</w:t>
      </w:r>
      <w:r w:rsidR="00406AE3" w:rsidRPr="00B652C1">
        <w:rPr>
          <w:sz w:val="24"/>
          <w:szCs w:val="24"/>
        </w:rPr>
        <w:t xml:space="preserve"> and that this effect increases as the credit quality of the bonds decreases from government </w:t>
      </w:r>
      <w:r w:rsidR="00406AE3" w:rsidRPr="00B652C1">
        <w:rPr>
          <w:sz w:val="24"/>
          <w:szCs w:val="24"/>
        </w:rPr>
        <w:lastRenderedPageBreak/>
        <w:t>issues to low grade corporate bonds</w:t>
      </w:r>
      <w:r w:rsidR="00FD58FB" w:rsidRPr="00B652C1">
        <w:rPr>
          <w:sz w:val="24"/>
          <w:szCs w:val="24"/>
        </w:rPr>
        <w:t>. However, another interesting pattern unfolds when</w:t>
      </w:r>
      <w:r w:rsidR="005724BA" w:rsidRPr="00B652C1">
        <w:rPr>
          <w:sz w:val="24"/>
          <w:szCs w:val="24"/>
        </w:rPr>
        <w:t xml:space="preserve"> term structure factors</w:t>
      </w:r>
      <w:r w:rsidR="00FD58FB" w:rsidRPr="00B652C1">
        <w:rPr>
          <w:sz w:val="24"/>
          <w:szCs w:val="24"/>
        </w:rPr>
        <w:t xml:space="preserve"> are also included in the regression. Government bond </w:t>
      </w:r>
      <w:r w:rsidR="00977737" w:rsidRPr="00B652C1">
        <w:rPr>
          <w:sz w:val="24"/>
          <w:szCs w:val="24"/>
        </w:rPr>
        <w:t xml:space="preserve">and “AAA” corporate bond </w:t>
      </w:r>
      <w:r w:rsidR="00FD58FB" w:rsidRPr="00B652C1">
        <w:rPr>
          <w:sz w:val="24"/>
          <w:szCs w:val="24"/>
        </w:rPr>
        <w:t xml:space="preserve">portfolios </w:t>
      </w:r>
      <w:r w:rsidR="00977737" w:rsidRPr="00B652C1">
        <w:rPr>
          <w:sz w:val="24"/>
          <w:szCs w:val="24"/>
        </w:rPr>
        <w:t>are now negatively related to the stock market</w:t>
      </w:r>
      <w:r w:rsidR="00FD58FB" w:rsidRPr="00B652C1">
        <w:rPr>
          <w:sz w:val="24"/>
          <w:szCs w:val="24"/>
        </w:rPr>
        <w:t xml:space="preserve"> </w:t>
      </w:r>
      <w:r w:rsidR="00977737" w:rsidRPr="00B652C1">
        <w:rPr>
          <w:sz w:val="24"/>
          <w:szCs w:val="24"/>
        </w:rPr>
        <w:t>which contrasts lower grade corporate bonds that remain positively related to the stock marke</w:t>
      </w:r>
      <w:r w:rsidR="00C4172A" w:rsidRPr="00B652C1">
        <w:rPr>
          <w:sz w:val="24"/>
          <w:szCs w:val="24"/>
        </w:rPr>
        <w:t>t. Th</w:t>
      </w:r>
      <w:r w:rsidR="00B119D1" w:rsidRPr="00B652C1">
        <w:rPr>
          <w:sz w:val="24"/>
          <w:szCs w:val="24"/>
        </w:rPr>
        <w:t>is raises the question of how the stock market co-moves with the government bond market.</w:t>
      </w:r>
    </w:p>
    <w:p w:rsidR="00B119D1" w:rsidRPr="00B652C1" w:rsidRDefault="00D623C1" w:rsidP="00D7066E">
      <w:pPr>
        <w:spacing w:before="240" w:line="360" w:lineRule="auto"/>
        <w:ind w:firstLine="360"/>
        <w:contextualSpacing/>
        <w:jc w:val="both"/>
        <w:rPr>
          <w:sz w:val="24"/>
          <w:szCs w:val="24"/>
        </w:rPr>
      </w:pPr>
      <w:r w:rsidRPr="00B652C1">
        <w:rPr>
          <w:sz w:val="24"/>
          <w:szCs w:val="24"/>
        </w:rPr>
        <w:t>This question has been the frontispiece of m</w:t>
      </w:r>
      <w:r w:rsidR="00AA53B1" w:rsidRPr="00B652C1">
        <w:rPr>
          <w:sz w:val="24"/>
          <w:szCs w:val="24"/>
        </w:rPr>
        <w:t xml:space="preserve">any studies </w:t>
      </w:r>
      <w:r w:rsidRPr="00B652C1">
        <w:rPr>
          <w:sz w:val="24"/>
          <w:szCs w:val="24"/>
        </w:rPr>
        <w:t xml:space="preserve">that </w:t>
      </w:r>
      <w:r w:rsidR="00AA53B1" w:rsidRPr="00B652C1">
        <w:rPr>
          <w:sz w:val="24"/>
          <w:szCs w:val="24"/>
        </w:rPr>
        <w:t>have tried</w:t>
      </w:r>
      <w:r w:rsidRPr="00B652C1">
        <w:rPr>
          <w:sz w:val="24"/>
          <w:szCs w:val="24"/>
        </w:rPr>
        <w:t xml:space="preserve"> to</w:t>
      </w:r>
      <w:r w:rsidR="00AA53B1" w:rsidRPr="00B652C1">
        <w:rPr>
          <w:sz w:val="24"/>
          <w:szCs w:val="24"/>
        </w:rPr>
        <w:t xml:space="preserve"> </w:t>
      </w:r>
      <w:r w:rsidRPr="00B652C1">
        <w:rPr>
          <w:sz w:val="24"/>
          <w:szCs w:val="24"/>
        </w:rPr>
        <w:t>explain the dynamics of the stock –</w:t>
      </w:r>
      <w:r w:rsidR="00AA53B1" w:rsidRPr="00B652C1">
        <w:rPr>
          <w:sz w:val="24"/>
          <w:szCs w:val="24"/>
        </w:rPr>
        <w:t xml:space="preserve"> </w:t>
      </w:r>
      <w:r w:rsidRPr="00B652C1">
        <w:rPr>
          <w:sz w:val="24"/>
          <w:szCs w:val="24"/>
        </w:rPr>
        <w:t xml:space="preserve">government bond co-movement. </w:t>
      </w:r>
      <w:r w:rsidR="00B119D1" w:rsidRPr="00B652C1">
        <w:rPr>
          <w:sz w:val="24"/>
          <w:szCs w:val="24"/>
        </w:rPr>
        <w:t>Scruggs and Glabanidis (2003)</w:t>
      </w:r>
      <w:r w:rsidR="00D7066E" w:rsidRPr="00B652C1">
        <w:rPr>
          <w:sz w:val="24"/>
          <w:szCs w:val="24"/>
        </w:rPr>
        <w:t xml:space="preserve"> </w:t>
      </w:r>
      <w:r w:rsidR="00B119D1" w:rsidRPr="00B652C1">
        <w:rPr>
          <w:sz w:val="24"/>
          <w:szCs w:val="24"/>
        </w:rPr>
        <w:t xml:space="preserve">and Baele et al. (2010) report that the correlation </w:t>
      </w:r>
      <w:r w:rsidR="008A2B0C" w:rsidRPr="00B652C1">
        <w:rPr>
          <w:sz w:val="24"/>
          <w:szCs w:val="24"/>
        </w:rPr>
        <w:t>between</w:t>
      </w:r>
      <w:r w:rsidR="00B26682" w:rsidRPr="00B652C1">
        <w:rPr>
          <w:sz w:val="24"/>
          <w:szCs w:val="24"/>
        </w:rPr>
        <w:t xml:space="preserve"> US</w:t>
      </w:r>
      <w:r w:rsidR="008A2B0C" w:rsidRPr="00B652C1">
        <w:rPr>
          <w:sz w:val="24"/>
          <w:szCs w:val="24"/>
        </w:rPr>
        <w:t xml:space="preserve"> </w:t>
      </w:r>
      <w:r w:rsidR="00B119D1" w:rsidRPr="00B652C1">
        <w:rPr>
          <w:sz w:val="24"/>
          <w:szCs w:val="24"/>
        </w:rPr>
        <w:t xml:space="preserve">stock and government bond </w:t>
      </w:r>
      <w:r w:rsidR="008A2B0C" w:rsidRPr="00B652C1">
        <w:rPr>
          <w:sz w:val="24"/>
          <w:szCs w:val="24"/>
        </w:rPr>
        <w:t xml:space="preserve">returns varies from as high as 60% to as low as -60%, but remains in positive territory </w:t>
      </w:r>
      <w:r w:rsidR="00082C2E" w:rsidRPr="00B652C1">
        <w:rPr>
          <w:sz w:val="24"/>
          <w:szCs w:val="24"/>
        </w:rPr>
        <w:t>most of the time.</w:t>
      </w:r>
      <w:r w:rsidR="00B26682" w:rsidRPr="00B652C1">
        <w:rPr>
          <w:sz w:val="24"/>
          <w:szCs w:val="24"/>
        </w:rPr>
        <w:t xml:space="preserve"> </w:t>
      </w:r>
      <w:r w:rsidR="00F6513C" w:rsidRPr="00B652C1">
        <w:rPr>
          <w:sz w:val="24"/>
          <w:szCs w:val="24"/>
        </w:rPr>
        <w:t xml:space="preserve">Campbell and Ammer (1993) and </w:t>
      </w:r>
      <w:r w:rsidR="00D7066E" w:rsidRPr="00B652C1">
        <w:rPr>
          <w:sz w:val="24"/>
          <w:szCs w:val="24"/>
        </w:rPr>
        <w:t xml:space="preserve">Ilmanen (2003) </w:t>
      </w:r>
      <w:r w:rsidR="00A81CD1" w:rsidRPr="00B652C1">
        <w:rPr>
          <w:sz w:val="24"/>
          <w:szCs w:val="24"/>
        </w:rPr>
        <w:t>generally point to inflation as the main determinant of</w:t>
      </w:r>
      <w:r w:rsidR="00EB4DDF" w:rsidRPr="00B652C1">
        <w:rPr>
          <w:sz w:val="24"/>
          <w:szCs w:val="24"/>
        </w:rPr>
        <w:t xml:space="preserve"> stock-bond correlation</w:t>
      </w:r>
      <w:r w:rsidR="00A81CD1" w:rsidRPr="00B652C1">
        <w:rPr>
          <w:sz w:val="24"/>
          <w:szCs w:val="24"/>
        </w:rPr>
        <w:t>.</w:t>
      </w:r>
      <w:r w:rsidR="00D7066E" w:rsidRPr="00B652C1">
        <w:rPr>
          <w:sz w:val="24"/>
          <w:szCs w:val="24"/>
        </w:rPr>
        <w:t xml:space="preserve"> However, Jones a</w:t>
      </w:r>
      <w:r w:rsidR="00F6513C" w:rsidRPr="00B652C1">
        <w:rPr>
          <w:sz w:val="24"/>
          <w:szCs w:val="24"/>
        </w:rPr>
        <w:t xml:space="preserve">nd Wilson (2004) </w:t>
      </w:r>
      <w:r w:rsidR="00A81CD1" w:rsidRPr="00B652C1">
        <w:rPr>
          <w:sz w:val="24"/>
          <w:szCs w:val="24"/>
        </w:rPr>
        <w:t xml:space="preserve">document </w:t>
      </w:r>
      <w:r w:rsidR="00F6513C" w:rsidRPr="00B652C1">
        <w:rPr>
          <w:sz w:val="24"/>
          <w:szCs w:val="24"/>
        </w:rPr>
        <w:t xml:space="preserve">that </w:t>
      </w:r>
      <w:r w:rsidR="00D7066E" w:rsidRPr="00B652C1">
        <w:rPr>
          <w:sz w:val="24"/>
          <w:szCs w:val="24"/>
        </w:rPr>
        <w:t>inflation levels and</w:t>
      </w:r>
      <w:r w:rsidR="00F6513C" w:rsidRPr="00B652C1">
        <w:rPr>
          <w:sz w:val="24"/>
          <w:szCs w:val="24"/>
        </w:rPr>
        <w:t xml:space="preserve"> inflation volatility has decreased to extreme lows since 1950. Connolly et al. (2005) report that inflation rates are similar and have small volatilities irrespective of economic regime.</w:t>
      </w:r>
      <w:r w:rsidR="00A81CD1" w:rsidRPr="00B652C1">
        <w:rPr>
          <w:sz w:val="24"/>
          <w:szCs w:val="24"/>
        </w:rPr>
        <w:t xml:space="preserve"> Baele et al. (2010) find that inflation and inflation uncertainty are not statistically significant for government bond returns. </w:t>
      </w:r>
      <w:r w:rsidR="00CF6F28" w:rsidRPr="00B652C1">
        <w:rPr>
          <w:sz w:val="24"/>
          <w:szCs w:val="24"/>
        </w:rPr>
        <w:t>Thus</w:t>
      </w:r>
      <w:r w:rsidR="00A81CD1" w:rsidRPr="00B652C1">
        <w:rPr>
          <w:sz w:val="24"/>
          <w:szCs w:val="24"/>
        </w:rPr>
        <w:t xml:space="preserve">, after 2000, inflation is unlikely to be the key factor to explain the correlation between the stock and government bond markets. Since stable values of low positive inflation rates also translate into </w:t>
      </w:r>
      <w:r w:rsidR="00CF6F28" w:rsidRPr="00B652C1">
        <w:rPr>
          <w:sz w:val="24"/>
          <w:szCs w:val="24"/>
        </w:rPr>
        <w:t>stable</w:t>
      </w:r>
      <w:r w:rsidR="00A81CD1" w:rsidRPr="00B652C1">
        <w:rPr>
          <w:sz w:val="24"/>
          <w:szCs w:val="24"/>
        </w:rPr>
        <w:t xml:space="preserve"> discount rates, </w:t>
      </w:r>
      <w:r w:rsidR="00CF6F28" w:rsidRPr="00B652C1">
        <w:rPr>
          <w:sz w:val="24"/>
          <w:szCs w:val="24"/>
        </w:rPr>
        <w:t>growth uncertainty remains the only variable to explain the co-movement between stocks and government bond returns. It is</w:t>
      </w:r>
      <w:r w:rsidR="00A81CD1" w:rsidRPr="00B652C1">
        <w:rPr>
          <w:sz w:val="24"/>
          <w:szCs w:val="24"/>
        </w:rPr>
        <w:t xml:space="preserve"> </w:t>
      </w:r>
      <w:r w:rsidR="00CF6F28" w:rsidRPr="00B652C1">
        <w:rPr>
          <w:sz w:val="24"/>
          <w:szCs w:val="24"/>
        </w:rPr>
        <w:t xml:space="preserve">therefore expected that long periods of economic expansion will ultimately translate into a negative stock – government bond correlation since investors </w:t>
      </w:r>
      <w:r w:rsidR="00CA0CF7" w:rsidRPr="00B652C1">
        <w:rPr>
          <w:sz w:val="24"/>
          <w:szCs w:val="24"/>
        </w:rPr>
        <w:t>prefer stocks over government bonds</w:t>
      </w:r>
      <w:r w:rsidR="00CF6F28" w:rsidRPr="00B652C1">
        <w:rPr>
          <w:sz w:val="24"/>
          <w:szCs w:val="24"/>
        </w:rPr>
        <w:t>.</w:t>
      </w:r>
      <w:r w:rsidR="00CA0CF7" w:rsidRPr="00B652C1">
        <w:rPr>
          <w:sz w:val="24"/>
          <w:szCs w:val="24"/>
        </w:rPr>
        <w:t xml:space="preserve"> Similarly, w</w:t>
      </w:r>
      <w:r w:rsidR="006C34D2" w:rsidRPr="00B652C1">
        <w:rPr>
          <w:sz w:val="24"/>
          <w:szCs w:val="24"/>
        </w:rPr>
        <w:t>eak economic prospects lead to a “flight-to-safety”</w:t>
      </w:r>
      <w:r w:rsidR="00B042E7" w:rsidRPr="00B652C1">
        <w:rPr>
          <w:sz w:val="24"/>
          <w:szCs w:val="24"/>
        </w:rPr>
        <w:t xml:space="preserve"> phenomenon from the stock market to the government bond market</w:t>
      </w:r>
      <w:r w:rsidR="00361FAC" w:rsidRPr="00B652C1">
        <w:rPr>
          <w:sz w:val="24"/>
          <w:szCs w:val="24"/>
        </w:rPr>
        <w:t>.</w:t>
      </w:r>
      <w:r w:rsidR="00CA0CF7" w:rsidRPr="00B652C1">
        <w:rPr>
          <w:sz w:val="24"/>
          <w:szCs w:val="24"/>
        </w:rPr>
        <w:t xml:space="preserve"> It is well documented that the stock and government bond correlation is negative during periods of financial turmoil. </w:t>
      </w:r>
      <w:r w:rsidR="00EB4467" w:rsidRPr="00B652C1">
        <w:rPr>
          <w:sz w:val="24"/>
          <w:szCs w:val="24"/>
        </w:rPr>
        <w:t xml:space="preserve">Connolly et al. (2005) gives supporting evidence in this case as they find that high uncertainty in the stock market, as proxied by the VIX index, relates to opposite movements in stock and government bond returns. </w:t>
      </w:r>
      <w:r w:rsidR="003B70CD" w:rsidRPr="00B652C1">
        <w:rPr>
          <w:sz w:val="24"/>
          <w:szCs w:val="24"/>
        </w:rPr>
        <w:t xml:space="preserve">Gulko (2002) reaches a similar result by looking at events containing days when the market has decreased by more than 5%. </w:t>
      </w:r>
      <w:r w:rsidR="00EB4467" w:rsidRPr="00B652C1">
        <w:rPr>
          <w:sz w:val="24"/>
          <w:szCs w:val="24"/>
        </w:rPr>
        <w:t xml:space="preserve">   </w:t>
      </w:r>
    </w:p>
    <w:p w:rsidR="005B010A" w:rsidRPr="00B652C1" w:rsidRDefault="00F6513C" w:rsidP="00361FAC">
      <w:pPr>
        <w:spacing w:line="360" w:lineRule="auto"/>
        <w:ind w:firstLine="360"/>
        <w:contextualSpacing/>
        <w:jc w:val="both"/>
        <w:rPr>
          <w:sz w:val="24"/>
          <w:szCs w:val="24"/>
        </w:rPr>
      </w:pPr>
      <w:r w:rsidRPr="00B652C1">
        <w:rPr>
          <w:sz w:val="24"/>
          <w:szCs w:val="24"/>
        </w:rPr>
        <w:t>Internationally, Andersson et al. (2008) shows th</w:t>
      </w:r>
      <w:r w:rsidR="003B70CD" w:rsidRPr="00B652C1">
        <w:rPr>
          <w:sz w:val="24"/>
          <w:szCs w:val="24"/>
        </w:rPr>
        <w:t>at stock-government bond return</w:t>
      </w:r>
      <w:r w:rsidRPr="00B652C1">
        <w:rPr>
          <w:sz w:val="24"/>
          <w:szCs w:val="24"/>
        </w:rPr>
        <w:t xml:space="preserve"> correlations exhibit similar patterns in the main global economies such as US, UK and Germany. </w:t>
      </w:r>
      <w:r w:rsidR="00A47711" w:rsidRPr="00B652C1">
        <w:rPr>
          <w:sz w:val="24"/>
          <w:szCs w:val="24"/>
        </w:rPr>
        <w:t>Guidolin and Timmerman (2005) docum</w:t>
      </w:r>
      <w:r w:rsidR="00C4172A" w:rsidRPr="00B652C1">
        <w:rPr>
          <w:sz w:val="24"/>
          <w:szCs w:val="24"/>
        </w:rPr>
        <w:t>ent</w:t>
      </w:r>
      <w:r w:rsidR="00A47711" w:rsidRPr="00B652C1">
        <w:rPr>
          <w:sz w:val="24"/>
          <w:szCs w:val="24"/>
        </w:rPr>
        <w:t xml:space="preserve"> negative correlation</w:t>
      </w:r>
      <w:r w:rsidR="00C4172A" w:rsidRPr="00B652C1">
        <w:rPr>
          <w:sz w:val="24"/>
          <w:szCs w:val="24"/>
        </w:rPr>
        <w:t>s</w:t>
      </w:r>
      <w:r w:rsidR="00A47711" w:rsidRPr="00B652C1">
        <w:rPr>
          <w:sz w:val="24"/>
          <w:szCs w:val="24"/>
        </w:rPr>
        <w:t xml:space="preserve"> between stock market </w:t>
      </w:r>
      <w:r w:rsidR="00361FAC" w:rsidRPr="00B652C1">
        <w:rPr>
          <w:sz w:val="24"/>
          <w:szCs w:val="24"/>
        </w:rPr>
        <w:t>and government bond returns</w:t>
      </w:r>
      <w:r w:rsidR="00A47711" w:rsidRPr="00B652C1">
        <w:rPr>
          <w:sz w:val="24"/>
          <w:szCs w:val="24"/>
        </w:rPr>
        <w:t xml:space="preserve"> in</w:t>
      </w:r>
      <w:r w:rsidR="00361FAC" w:rsidRPr="00B652C1">
        <w:rPr>
          <w:sz w:val="24"/>
          <w:szCs w:val="24"/>
        </w:rPr>
        <w:t xml:space="preserve"> the</w:t>
      </w:r>
      <w:r w:rsidR="00A47711" w:rsidRPr="00B652C1">
        <w:rPr>
          <w:sz w:val="24"/>
          <w:szCs w:val="24"/>
        </w:rPr>
        <w:t xml:space="preserve"> UK when the market is in a “bear” state.</w:t>
      </w:r>
      <w:r w:rsidR="00C4172A" w:rsidRPr="00B652C1">
        <w:rPr>
          <w:sz w:val="24"/>
          <w:szCs w:val="24"/>
        </w:rPr>
        <w:t xml:space="preserve"> </w:t>
      </w:r>
      <w:r w:rsidR="005B010A" w:rsidRPr="00B652C1">
        <w:rPr>
          <w:sz w:val="24"/>
          <w:szCs w:val="24"/>
        </w:rPr>
        <w:t xml:space="preserve"> </w:t>
      </w:r>
      <w:r w:rsidR="00082C2E" w:rsidRPr="00B652C1">
        <w:rPr>
          <w:sz w:val="24"/>
          <w:szCs w:val="24"/>
        </w:rPr>
        <w:lastRenderedPageBreak/>
        <w:t xml:space="preserve">Lekkos and Milas (2004) find a similar negative relationship in the UK market in times of expansion and argue that in such periods the stock markets record high returns and attracts more capital than the government bond market. The reverse </w:t>
      </w:r>
      <w:r w:rsidR="00CA4A21">
        <w:rPr>
          <w:sz w:val="24"/>
          <w:szCs w:val="24"/>
        </w:rPr>
        <w:t>is true during recessions when a</w:t>
      </w:r>
      <w:r w:rsidR="00082C2E" w:rsidRPr="00B652C1">
        <w:rPr>
          <w:sz w:val="24"/>
          <w:szCs w:val="24"/>
        </w:rPr>
        <w:t xml:space="preserve"> </w:t>
      </w:r>
      <w:r w:rsidR="00DD349B" w:rsidRPr="00B652C1">
        <w:rPr>
          <w:sz w:val="24"/>
          <w:szCs w:val="24"/>
        </w:rPr>
        <w:t>“</w:t>
      </w:r>
      <w:r w:rsidR="00082C2E" w:rsidRPr="00B652C1">
        <w:rPr>
          <w:sz w:val="24"/>
          <w:szCs w:val="24"/>
        </w:rPr>
        <w:t>flight-to-</w:t>
      </w:r>
      <w:r w:rsidR="00DD349B" w:rsidRPr="00B652C1">
        <w:rPr>
          <w:sz w:val="24"/>
          <w:szCs w:val="24"/>
        </w:rPr>
        <w:t>safety”</w:t>
      </w:r>
      <w:r w:rsidR="00082C2E" w:rsidRPr="00B652C1">
        <w:rPr>
          <w:sz w:val="24"/>
          <w:szCs w:val="24"/>
        </w:rPr>
        <w:t xml:space="preserve"> phenomenon is observed and funds are directed towards government securities.</w:t>
      </w:r>
      <w:r w:rsidR="00DD349B" w:rsidRPr="00B652C1">
        <w:rPr>
          <w:sz w:val="24"/>
          <w:szCs w:val="24"/>
        </w:rPr>
        <w:t xml:space="preserve"> Li and Zou (2008) </w:t>
      </w:r>
      <w:r w:rsidR="0066542A" w:rsidRPr="00B652C1">
        <w:rPr>
          <w:sz w:val="24"/>
          <w:szCs w:val="24"/>
        </w:rPr>
        <w:t xml:space="preserve">present </w:t>
      </w:r>
      <w:r w:rsidR="00DD349B" w:rsidRPr="00B652C1">
        <w:rPr>
          <w:sz w:val="24"/>
          <w:szCs w:val="24"/>
        </w:rPr>
        <w:t>that Chinese government bond and stock returns move in the same direction when both markets are hit by bad news but move in opposite directions as a response of good news.</w:t>
      </w:r>
    </w:p>
    <w:p w:rsidR="003F22D1" w:rsidRDefault="00DA30AA" w:rsidP="00BE50DA">
      <w:pPr>
        <w:spacing w:line="360" w:lineRule="auto"/>
        <w:ind w:firstLine="360"/>
        <w:contextualSpacing/>
        <w:jc w:val="both"/>
        <w:rPr>
          <w:sz w:val="24"/>
          <w:szCs w:val="24"/>
        </w:rPr>
      </w:pPr>
      <w:r>
        <w:rPr>
          <w:sz w:val="24"/>
          <w:szCs w:val="24"/>
        </w:rPr>
        <w:t>With regard to default risk,</w:t>
      </w:r>
      <w:r w:rsidR="00611D99">
        <w:rPr>
          <w:sz w:val="24"/>
          <w:szCs w:val="24"/>
        </w:rPr>
        <w:t xml:space="preserve"> Fama and French </w:t>
      </w:r>
      <w:r>
        <w:rPr>
          <w:sz w:val="24"/>
          <w:szCs w:val="24"/>
        </w:rPr>
        <w:t xml:space="preserve">(1993) </w:t>
      </w:r>
      <w:r w:rsidR="00611D99">
        <w:rPr>
          <w:sz w:val="24"/>
          <w:szCs w:val="24"/>
        </w:rPr>
        <w:t>observe</w:t>
      </w:r>
      <w:r w:rsidR="00C624A0">
        <w:rPr>
          <w:sz w:val="24"/>
          <w:szCs w:val="24"/>
        </w:rPr>
        <w:t xml:space="preserve"> </w:t>
      </w:r>
      <w:r w:rsidR="00611D99" w:rsidRPr="00B652C1">
        <w:rPr>
          <w:sz w:val="24"/>
          <w:szCs w:val="24"/>
        </w:rPr>
        <w:t>that</w:t>
      </w:r>
      <w:r w:rsidR="00C624A0" w:rsidRPr="00B652C1">
        <w:rPr>
          <w:sz w:val="24"/>
          <w:szCs w:val="24"/>
        </w:rPr>
        <w:t xml:space="preserve"> a common default premium</w:t>
      </w:r>
      <w:r w:rsidR="007930EC" w:rsidRPr="00B652C1">
        <w:rPr>
          <w:sz w:val="24"/>
          <w:szCs w:val="24"/>
        </w:rPr>
        <w:t xml:space="preserve"> (i.e. the return difference between long term corporate and government bond portfolios)</w:t>
      </w:r>
      <w:r w:rsidR="00C624A0" w:rsidRPr="00B652C1">
        <w:rPr>
          <w:sz w:val="24"/>
          <w:szCs w:val="24"/>
        </w:rPr>
        <w:t xml:space="preserve"> is priced in priced in US government bond returns although its effect is stronger for corporates bonds and stocks. </w:t>
      </w:r>
      <w:r w:rsidR="005C2337" w:rsidRPr="004B2AE6">
        <w:rPr>
          <w:sz w:val="24"/>
          <w:szCs w:val="24"/>
        </w:rPr>
        <w:t xml:space="preserve">During the expansionary period between 2002 and 2006, Liu et al. (2009) show that US investors stopped demanding a default premium. With the start of the financial crisis in </w:t>
      </w:r>
      <w:r w:rsidR="007C3681">
        <w:rPr>
          <w:sz w:val="24"/>
          <w:szCs w:val="24"/>
        </w:rPr>
        <w:t xml:space="preserve">the </w:t>
      </w:r>
      <w:r w:rsidR="005C2337" w:rsidRPr="004B2AE6">
        <w:rPr>
          <w:sz w:val="24"/>
          <w:szCs w:val="24"/>
        </w:rPr>
        <w:t>US and the business cycle entering a recession period, Nippani and Smith (2010) provide evidence that more than 60% of the actions that commit public funds towards diminishing the effects of the subprime crisis have increased the default risk of US Treasury bonds. Despite these findings there is little evidence to suggest a real risk of default in US government bonds. However, not the same can be said for some peripheral Euro-zone countries during the European debt crisis</w:t>
      </w:r>
      <w:r w:rsidR="007C3681">
        <w:rPr>
          <w:sz w:val="24"/>
          <w:szCs w:val="24"/>
        </w:rPr>
        <w:t xml:space="preserve"> that followed. </w:t>
      </w:r>
      <w:r w:rsidR="003F22D1" w:rsidRPr="004B2AE6">
        <w:rPr>
          <w:sz w:val="24"/>
          <w:szCs w:val="24"/>
        </w:rPr>
        <w:t xml:space="preserve">Bai et al. (2012) argue that contagion through fundamental credit shocks is the main driver of government yield spreads during the European debt crisis. Pelizzon et al. (2013) study the interaction between credit and liquidity risks in Italy during the sovereign debt crisis in response to the ECB’s </w:t>
      </w:r>
      <w:r w:rsidR="003F22D1" w:rsidRPr="003F22D1">
        <w:rPr>
          <w:sz w:val="24"/>
          <w:szCs w:val="24"/>
        </w:rPr>
        <w:t xml:space="preserve">long term refinancing operation (LTRO) </w:t>
      </w:r>
      <w:r w:rsidR="003F22D1" w:rsidRPr="004B2AE6">
        <w:rPr>
          <w:sz w:val="24"/>
          <w:szCs w:val="24"/>
        </w:rPr>
        <w:t>program. They find that the program has successfully improved bond market liquidity and reduced default risk, at least in the short term.</w:t>
      </w:r>
    </w:p>
    <w:p w:rsidR="009406CA" w:rsidRPr="004B2AE6" w:rsidRDefault="009406CA" w:rsidP="00BE50DA">
      <w:pPr>
        <w:spacing w:line="360" w:lineRule="auto"/>
        <w:ind w:firstLine="360"/>
        <w:contextualSpacing/>
        <w:jc w:val="both"/>
        <w:rPr>
          <w:sz w:val="24"/>
          <w:szCs w:val="24"/>
        </w:rPr>
      </w:pPr>
      <w:r w:rsidRPr="004B2AE6">
        <w:rPr>
          <w:sz w:val="24"/>
          <w:szCs w:val="24"/>
        </w:rPr>
        <w:t>Although credit risk in government bonds has just recently gained more attention, liquidity risk</w:t>
      </w:r>
      <w:r w:rsidR="00135355">
        <w:rPr>
          <w:sz w:val="24"/>
          <w:szCs w:val="24"/>
        </w:rPr>
        <w:t>,</w:t>
      </w:r>
      <w:r w:rsidRPr="004B2AE6">
        <w:rPr>
          <w:sz w:val="24"/>
          <w:szCs w:val="24"/>
        </w:rPr>
        <w:t xml:space="preserve"> on the other hand</w:t>
      </w:r>
      <w:r w:rsidR="00135355">
        <w:rPr>
          <w:sz w:val="24"/>
          <w:szCs w:val="24"/>
        </w:rPr>
        <w:t>,</w:t>
      </w:r>
      <w:r w:rsidRPr="004B2AE6">
        <w:rPr>
          <w:sz w:val="24"/>
          <w:szCs w:val="24"/>
        </w:rPr>
        <w:t xml:space="preserve"> has been widely researched. Amihud and Mendelson (1991), Kamara (1994), Fleming (2002), Grinblatt and Longstaff (2000), Longstaff (2004), Brandt and Kavajecz (2004) are </w:t>
      </w:r>
      <w:r w:rsidR="001B5A86">
        <w:rPr>
          <w:sz w:val="24"/>
          <w:szCs w:val="24"/>
        </w:rPr>
        <w:t xml:space="preserve">among those who </w:t>
      </w:r>
      <w:r w:rsidRPr="004B2AE6">
        <w:rPr>
          <w:sz w:val="24"/>
          <w:szCs w:val="24"/>
        </w:rPr>
        <w:t xml:space="preserve">point to the existence of different liquidity levels in </w:t>
      </w:r>
      <w:r w:rsidR="001B5A86">
        <w:rPr>
          <w:sz w:val="24"/>
          <w:szCs w:val="24"/>
        </w:rPr>
        <w:t xml:space="preserve">US </w:t>
      </w:r>
      <w:r w:rsidRPr="004B2AE6">
        <w:rPr>
          <w:sz w:val="24"/>
          <w:szCs w:val="24"/>
        </w:rPr>
        <w:t xml:space="preserve">Treasury prices. Li et al. (2009) conclude that half of monthly excess Treasury returns between 1992 and 2002 are compensation for different dimensions </w:t>
      </w:r>
      <w:r w:rsidR="007C3681">
        <w:rPr>
          <w:sz w:val="24"/>
          <w:szCs w:val="24"/>
        </w:rPr>
        <w:t xml:space="preserve">of </w:t>
      </w:r>
      <w:r w:rsidRPr="004B2AE6">
        <w:rPr>
          <w:sz w:val="24"/>
          <w:szCs w:val="24"/>
        </w:rPr>
        <w:t xml:space="preserve">liquidity risk. Boudoukh and Whitelaw (1991, 1993), Eom et al. (1998) and Singleton (2000) </w:t>
      </w:r>
      <w:r w:rsidRPr="004B2AE6">
        <w:rPr>
          <w:sz w:val="24"/>
          <w:szCs w:val="24"/>
        </w:rPr>
        <w:lastRenderedPageBreak/>
        <w:t xml:space="preserve">find that benchmark bond prices are more liquidity than their non-benchmark counterparts on the Japanese government bond market. </w:t>
      </w:r>
    </w:p>
    <w:p w:rsidR="002B455C" w:rsidRPr="004B2AE6" w:rsidRDefault="001B5A86" w:rsidP="00BE50DA">
      <w:pPr>
        <w:spacing w:line="360" w:lineRule="auto"/>
        <w:ind w:firstLine="360"/>
        <w:contextualSpacing/>
        <w:jc w:val="both"/>
        <w:rPr>
          <w:sz w:val="24"/>
          <w:szCs w:val="24"/>
        </w:rPr>
      </w:pPr>
      <w:r>
        <w:rPr>
          <w:sz w:val="24"/>
          <w:szCs w:val="24"/>
        </w:rPr>
        <w:t>As for emerging markets</w:t>
      </w:r>
      <w:r w:rsidR="00030D33" w:rsidRPr="004B2AE6">
        <w:rPr>
          <w:sz w:val="24"/>
          <w:szCs w:val="24"/>
        </w:rPr>
        <w:t xml:space="preserve"> </w:t>
      </w:r>
      <w:r w:rsidR="00002D7A" w:rsidRPr="004B2AE6">
        <w:rPr>
          <w:sz w:val="24"/>
          <w:szCs w:val="24"/>
        </w:rPr>
        <w:t>Weigel</w:t>
      </w:r>
      <w:r w:rsidR="002B455C" w:rsidRPr="004B2AE6">
        <w:rPr>
          <w:sz w:val="24"/>
          <w:szCs w:val="24"/>
        </w:rPr>
        <w:t xml:space="preserve"> and Gemmill (2006)</w:t>
      </w:r>
      <w:r w:rsidR="00217412" w:rsidRPr="004B2AE6">
        <w:rPr>
          <w:sz w:val="24"/>
          <w:szCs w:val="24"/>
        </w:rPr>
        <w:t xml:space="preserve"> find that credit risk of Brandy bonds from Argentina, Brazil, Mexico and Venezuela is mostly related to regional and global factors</w:t>
      </w:r>
      <w:r w:rsidR="006963E5" w:rsidRPr="004B2AE6">
        <w:rPr>
          <w:sz w:val="24"/>
          <w:szCs w:val="24"/>
        </w:rPr>
        <w:t xml:space="preserve">. </w:t>
      </w:r>
      <w:r w:rsidR="00F02EA5" w:rsidRPr="004B2AE6">
        <w:rPr>
          <w:sz w:val="24"/>
          <w:szCs w:val="24"/>
        </w:rPr>
        <w:t xml:space="preserve">On the other hand, </w:t>
      </w:r>
      <w:r w:rsidR="006963E5" w:rsidRPr="004B2AE6">
        <w:rPr>
          <w:sz w:val="24"/>
          <w:szCs w:val="24"/>
        </w:rPr>
        <w:t>Maltritz and Molchanov (2013)</w:t>
      </w:r>
      <w:r w:rsidR="00F02EA5" w:rsidRPr="004B2AE6">
        <w:rPr>
          <w:sz w:val="24"/>
          <w:szCs w:val="24"/>
        </w:rPr>
        <w:t xml:space="preserve"> and Martinez et al. (2013)</w:t>
      </w:r>
      <w:r w:rsidR="006963E5" w:rsidRPr="004B2AE6">
        <w:rPr>
          <w:sz w:val="24"/>
          <w:szCs w:val="24"/>
        </w:rPr>
        <w:t xml:space="preserve"> </w:t>
      </w:r>
      <w:r w:rsidR="00C6584E">
        <w:rPr>
          <w:sz w:val="24"/>
          <w:szCs w:val="24"/>
        </w:rPr>
        <w:t>observe</w:t>
      </w:r>
      <w:r w:rsidR="00C6584E" w:rsidRPr="004B2AE6">
        <w:rPr>
          <w:sz w:val="24"/>
          <w:szCs w:val="24"/>
        </w:rPr>
        <w:t xml:space="preserve"> </w:t>
      </w:r>
      <w:r w:rsidR="006963E5" w:rsidRPr="004B2AE6">
        <w:rPr>
          <w:sz w:val="24"/>
          <w:szCs w:val="24"/>
        </w:rPr>
        <w:t>that country-specific factors are most important in explaining the variance of sovereign spreads in</w:t>
      </w:r>
      <w:r w:rsidR="005729FB" w:rsidRPr="004B2AE6">
        <w:rPr>
          <w:sz w:val="24"/>
          <w:szCs w:val="24"/>
        </w:rPr>
        <w:t xml:space="preserve"> </w:t>
      </w:r>
      <w:r w:rsidR="006963E5" w:rsidRPr="004B2AE6">
        <w:rPr>
          <w:sz w:val="24"/>
          <w:szCs w:val="24"/>
        </w:rPr>
        <w:t>emerging markets. Interestingly,</w:t>
      </w:r>
      <w:r w:rsidR="00F02EA5" w:rsidRPr="004B2AE6">
        <w:rPr>
          <w:sz w:val="24"/>
          <w:szCs w:val="24"/>
        </w:rPr>
        <w:t xml:space="preserve"> all</w:t>
      </w:r>
      <w:r w:rsidR="006963E5" w:rsidRPr="004B2AE6">
        <w:rPr>
          <w:sz w:val="24"/>
          <w:szCs w:val="24"/>
        </w:rPr>
        <w:t xml:space="preserve"> </w:t>
      </w:r>
      <w:r w:rsidR="00F02EA5" w:rsidRPr="004B2AE6">
        <w:rPr>
          <w:sz w:val="24"/>
          <w:szCs w:val="24"/>
        </w:rPr>
        <w:t>these</w:t>
      </w:r>
      <w:r w:rsidR="006963E5" w:rsidRPr="004B2AE6">
        <w:rPr>
          <w:sz w:val="24"/>
          <w:szCs w:val="24"/>
        </w:rPr>
        <w:t xml:space="preserve"> studies find a negative and statistically significant relationship between </w:t>
      </w:r>
      <w:r w:rsidR="005A7249" w:rsidRPr="004B2AE6">
        <w:rPr>
          <w:sz w:val="24"/>
          <w:szCs w:val="24"/>
        </w:rPr>
        <w:t xml:space="preserve">changes in </w:t>
      </w:r>
      <w:r w:rsidR="006963E5" w:rsidRPr="004B2AE6">
        <w:rPr>
          <w:sz w:val="24"/>
          <w:szCs w:val="24"/>
        </w:rPr>
        <w:t>credit risk</w:t>
      </w:r>
      <w:r w:rsidR="00F02EA5" w:rsidRPr="004B2AE6">
        <w:rPr>
          <w:sz w:val="24"/>
          <w:szCs w:val="24"/>
        </w:rPr>
        <w:t xml:space="preserve"> (or bond spreads)</w:t>
      </w:r>
      <w:r w:rsidR="006963E5" w:rsidRPr="004B2AE6">
        <w:rPr>
          <w:sz w:val="24"/>
          <w:szCs w:val="24"/>
        </w:rPr>
        <w:t xml:space="preserve"> and </w:t>
      </w:r>
      <w:r w:rsidR="005729FB" w:rsidRPr="004B2AE6">
        <w:rPr>
          <w:sz w:val="24"/>
          <w:szCs w:val="24"/>
        </w:rPr>
        <w:t>stock market</w:t>
      </w:r>
      <w:r w:rsidR="005A7249" w:rsidRPr="004B2AE6">
        <w:rPr>
          <w:sz w:val="24"/>
          <w:szCs w:val="24"/>
        </w:rPr>
        <w:t xml:space="preserve"> returns</w:t>
      </w:r>
      <w:r w:rsidR="006963E5" w:rsidRPr="004B2AE6">
        <w:rPr>
          <w:sz w:val="24"/>
          <w:szCs w:val="24"/>
        </w:rPr>
        <w:t xml:space="preserve">. </w:t>
      </w:r>
      <w:r w:rsidR="005A7249" w:rsidRPr="004B2AE6">
        <w:rPr>
          <w:sz w:val="24"/>
          <w:szCs w:val="24"/>
        </w:rPr>
        <w:t xml:space="preserve">They consider </w:t>
      </w:r>
      <w:r w:rsidR="00C6584E">
        <w:rPr>
          <w:sz w:val="24"/>
          <w:szCs w:val="24"/>
        </w:rPr>
        <w:t xml:space="preserve">the latter </w:t>
      </w:r>
      <w:r w:rsidR="005A7249" w:rsidRPr="004B2AE6">
        <w:rPr>
          <w:sz w:val="24"/>
          <w:szCs w:val="24"/>
        </w:rPr>
        <w:t xml:space="preserve">as </w:t>
      </w:r>
      <w:r w:rsidR="005729FB" w:rsidRPr="004B2AE6">
        <w:rPr>
          <w:sz w:val="24"/>
          <w:szCs w:val="24"/>
        </w:rPr>
        <w:t>a</w:t>
      </w:r>
      <w:r w:rsidR="006963E5" w:rsidRPr="004B2AE6">
        <w:rPr>
          <w:sz w:val="24"/>
          <w:szCs w:val="24"/>
        </w:rPr>
        <w:t xml:space="preserve"> good proxy for market sentiment </w:t>
      </w:r>
      <w:r w:rsidR="005A7249" w:rsidRPr="004B2AE6">
        <w:rPr>
          <w:sz w:val="24"/>
          <w:szCs w:val="24"/>
        </w:rPr>
        <w:t xml:space="preserve">which drives the risk of emerging market </w:t>
      </w:r>
      <w:r w:rsidR="00C6584E">
        <w:rPr>
          <w:sz w:val="24"/>
          <w:szCs w:val="24"/>
        </w:rPr>
        <w:t xml:space="preserve">bond </w:t>
      </w:r>
      <w:r w:rsidR="005A7249" w:rsidRPr="004B2AE6">
        <w:rPr>
          <w:sz w:val="24"/>
          <w:szCs w:val="24"/>
        </w:rPr>
        <w:t>spreads.</w:t>
      </w:r>
    </w:p>
    <w:p w:rsidR="009406CA" w:rsidRPr="004B2AE6" w:rsidRDefault="00493199" w:rsidP="00BE50DA">
      <w:pPr>
        <w:spacing w:line="360" w:lineRule="auto"/>
        <w:ind w:firstLine="360"/>
        <w:contextualSpacing/>
        <w:jc w:val="both"/>
        <w:rPr>
          <w:sz w:val="24"/>
          <w:szCs w:val="24"/>
        </w:rPr>
      </w:pPr>
      <w:r w:rsidRPr="004B2AE6">
        <w:rPr>
          <w:sz w:val="24"/>
          <w:szCs w:val="24"/>
        </w:rPr>
        <w:t>For Europe,</w:t>
      </w:r>
      <w:r w:rsidR="00EA40E6" w:rsidRPr="004B2AE6">
        <w:rPr>
          <w:sz w:val="24"/>
          <w:szCs w:val="24"/>
        </w:rPr>
        <w:t xml:space="preserve"> the literature points to four</w:t>
      </w:r>
      <w:r w:rsidR="009406CA" w:rsidRPr="004B2AE6">
        <w:rPr>
          <w:sz w:val="24"/>
          <w:szCs w:val="24"/>
        </w:rPr>
        <w:t xml:space="preserve"> main factors</w:t>
      </w:r>
      <w:r w:rsidR="00EA40E6" w:rsidRPr="004B2AE6">
        <w:rPr>
          <w:sz w:val="24"/>
          <w:szCs w:val="24"/>
        </w:rPr>
        <w:t xml:space="preserve"> that</w:t>
      </w:r>
      <w:r w:rsidR="009406CA" w:rsidRPr="004B2AE6">
        <w:rPr>
          <w:sz w:val="24"/>
          <w:szCs w:val="24"/>
        </w:rPr>
        <w:t xml:space="preserve"> affect</w:t>
      </w:r>
      <w:r w:rsidR="00C6584E">
        <w:rPr>
          <w:sz w:val="24"/>
          <w:szCs w:val="24"/>
        </w:rPr>
        <w:t>ed</w:t>
      </w:r>
      <w:r w:rsidRPr="004B2AE6">
        <w:rPr>
          <w:sz w:val="24"/>
          <w:szCs w:val="24"/>
        </w:rPr>
        <w:t xml:space="preserve"> sovereign</w:t>
      </w:r>
      <w:r w:rsidR="009406CA" w:rsidRPr="004B2AE6">
        <w:rPr>
          <w:sz w:val="24"/>
          <w:szCs w:val="24"/>
        </w:rPr>
        <w:t xml:space="preserve"> yields</w:t>
      </w:r>
      <w:r w:rsidR="00EA40E6" w:rsidRPr="004B2AE6">
        <w:rPr>
          <w:sz w:val="24"/>
          <w:szCs w:val="24"/>
        </w:rPr>
        <w:t xml:space="preserve"> before the introduction of the Euro in 1999</w:t>
      </w:r>
      <w:r w:rsidR="009406CA" w:rsidRPr="004B2AE6">
        <w:rPr>
          <w:sz w:val="24"/>
          <w:szCs w:val="24"/>
        </w:rPr>
        <w:t>: foreign exchange, credit</w:t>
      </w:r>
      <w:r w:rsidR="00C6584E">
        <w:rPr>
          <w:sz w:val="24"/>
          <w:szCs w:val="24"/>
        </w:rPr>
        <w:t xml:space="preserve">, </w:t>
      </w:r>
      <w:r w:rsidR="009406CA" w:rsidRPr="004B2AE6">
        <w:rPr>
          <w:sz w:val="24"/>
          <w:szCs w:val="24"/>
        </w:rPr>
        <w:t>liquidity and international factors.</w:t>
      </w:r>
      <w:r w:rsidR="00EA40E6" w:rsidRPr="004B2AE6">
        <w:rPr>
          <w:rStyle w:val="Rimandonotaapidipagina"/>
          <w:sz w:val="24"/>
          <w:szCs w:val="24"/>
        </w:rPr>
        <w:footnoteReference w:id="2"/>
      </w:r>
      <w:r w:rsidR="009406CA" w:rsidRPr="004B2AE6">
        <w:rPr>
          <w:sz w:val="24"/>
          <w:szCs w:val="24"/>
        </w:rPr>
        <w:t xml:space="preserve"> Prati and Schinasi (1997) consider credit risk as the main </w:t>
      </w:r>
      <w:r w:rsidR="00C6584E">
        <w:rPr>
          <w:sz w:val="24"/>
          <w:szCs w:val="24"/>
        </w:rPr>
        <w:t xml:space="preserve">determinant </w:t>
      </w:r>
      <w:r w:rsidR="009406CA" w:rsidRPr="004B2AE6">
        <w:rPr>
          <w:sz w:val="24"/>
          <w:szCs w:val="24"/>
        </w:rPr>
        <w:t xml:space="preserve">to explain Euro cross-county yield spreads and point to the positive difference between USD denominated debt issues of EMU countries and comparable Treasury securities. Lemmen and Goodhart (1999) view EMU yield spreads as a proxy for credit risk and find a positive relationship with debt-to-GDP ratio changes between 1987 and 1996. This relationship is also documented by Codogno et al. (2003) and Bernoth et al. (2012). </w:t>
      </w:r>
    </w:p>
    <w:p w:rsidR="00987FCC" w:rsidRPr="004B2AE6" w:rsidRDefault="00987FCC" w:rsidP="00BE50DA">
      <w:pPr>
        <w:spacing w:line="360" w:lineRule="auto"/>
        <w:ind w:firstLine="360"/>
        <w:contextualSpacing/>
        <w:jc w:val="both"/>
        <w:rPr>
          <w:sz w:val="24"/>
          <w:szCs w:val="24"/>
        </w:rPr>
      </w:pPr>
      <w:r w:rsidRPr="004B2AE6">
        <w:rPr>
          <w:sz w:val="24"/>
          <w:szCs w:val="24"/>
        </w:rPr>
        <w:t>Following the monetary unification, the euro bond market has</w:t>
      </w:r>
      <w:r w:rsidR="00B67FC1" w:rsidRPr="004B2AE6">
        <w:rPr>
          <w:sz w:val="24"/>
          <w:szCs w:val="24"/>
        </w:rPr>
        <w:t xml:space="preserve"> made steps</w:t>
      </w:r>
      <w:r w:rsidRPr="004B2AE6">
        <w:rPr>
          <w:sz w:val="24"/>
          <w:szCs w:val="24"/>
        </w:rPr>
        <w:t xml:space="preserve"> towards more efficient market integration. The emergence and developments of European bond trading platforms have fostered the integration process </w:t>
      </w:r>
      <w:r w:rsidR="003E0FE4">
        <w:rPr>
          <w:sz w:val="24"/>
          <w:szCs w:val="24"/>
        </w:rPr>
        <w:t xml:space="preserve">of </w:t>
      </w:r>
      <w:r w:rsidRPr="004B2AE6">
        <w:rPr>
          <w:sz w:val="24"/>
          <w:szCs w:val="24"/>
        </w:rPr>
        <w:t xml:space="preserve">the secondary market (Pagano and Thadden, 2004). Codogno et al. (2003), Geyer et al. (2004) and Baele et al. (2004) </w:t>
      </w:r>
      <w:r w:rsidR="00C6584E">
        <w:rPr>
          <w:sz w:val="24"/>
          <w:szCs w:val="24"/>
        </w:rPr>
        <w:t>observe</w:t>
      </w:r>
      <w:r w:rsidR="00C6584E" w:rsidRPr="004B2AE6">
        <w:rPr>
          <w:sz w:val="24"/>
          <w:szCs w:val="24"/>
        </w:rPr>
        <w:t xml:space="preserve"> </w:t>
      </w:r>
      <w:r w:rsidRPr="004B2AE6">
        <w:rPr>
          <w:sz w:val="24"/>
          <w:szCs w:val="24"/>
        </w:rPr>
        <w:t xml:space="preserve">a sharp decrease in EMU yield spreads over the German bund after 1999. </w:t>
      </w:r>
      <w:r w:rsidR="003E0FE4">
        <w:rPr>
          <w:sz w:val="24"/>
          <w:szCs w:val="24"/>
        </w:rPr>
        <w:t>T</w:t>
      </w:r>
      <w:r w:rsidRPr="004B2AE6">
        <w:rPr>
          <w:sz w:val="24"/>
          <w:szCs w:val="24"/>
        </w:rPr>
        <w:t xml:space="preserve">hese authors also show that sovereign bond yield changes have started to closely follow the changes of the German bund. </w:t>
      </w:r>
    </w:p>
    <w:p w:rsidR="009406CA" w:rsidRPr="004B2AE6" w:rsidRDefault="009406CA" w:rsidP="00BE50DA">
      <w:pPr>
        <w:spacing w:line="360" w:lineRule="auto"/>
        <w:ind w:firstLine="360"/>
        <w:contextualSpacing/>
        <w:jc w:val="both"/>
        <w:rPr>
          <w:sz w:val="24"/>
          <w:szCs w:val="24"/>
        </w:rPr>
      </w:pPr>
      <w:r w:rsidRPr="004B2AE6">
        <w:rPr>
          <w:sz w:val="24"/>
          <w:szCs w:val="24"/>
        </w:rPr>
        <w:t>Since the introduction of the Euro has naturally eliminated the foreign exchange risk, the focus has shifted to the other types of risk.</w:t>
      </w:r>
      <w:r w:rsidR="00F71100" w:rsidRPr="004B2AE6">
        <w:rPr>
          <w:sz w:val="24"/>
          <w:szCs w:val="24"/>
        </w:rPr>
        <w:t xml:space="preserve"> </w:t>
      </w:r>
      <w:r w:rsidRPr="004B2AE6">
        <w:rPr>
          <w:sz w:val="24"/>
          <w:szCs w:val="24"/>
        </w:rPr>
        <w:t>Codogno et al. (2003), Favero et al. (20</w:t>
      </w:r>
      <w:r w:rsidR="00FF45C6" w:rsidRPr="004B2AE6">
        <w:rPr>
          <w:sz w:val="24"/>
          <w:szCs w:val="24"/>
        </w:rPr>
        <w:t>10</w:t>
      </w:r>
      <w:r w:rsidRPr="004B2AE6">
        <w:rPr>
          <w:sz w:val="24"/>
          <w:szCs w:val="24"/>
        </w:rPr>
        <w:t xml:space="preserve">) and Bernoth et al. (2012) provide evidence of an international risk aversion factor affecting European sovereign yields which is related to US corporate bond spreads. Skintzi and </w:t>
      </w:r>
      <w:r w:rsidRPr="004B2AE6">
        <w:rPr>
          <w:sz w:val="24"/>
          <w:szCs w:val="24"/>
        </w:rPr>
        <w:lastRenderedPageBreak/>
        <w:t>Refenes (2006) also find volatility spillovers from the US and aggregated Euro bond markets indexes to ind</w:t>
      </w:r>
      <w:r w:rsidR="00EE77D5" w:rsidRPr="004B2AE6">
        <w:rPr>
          <w:sz w:val="24"/>
          <w:szCs w:val="24"/>
        </w:rPr>
        <w:t>ividual Euro-zone bond markets.</w:t>
      </w:r>
      <w:r w:rsidR="00F71100" w:rsidRPr="004B2AE6">
        <w:rPr>
          <w:sz w:val="24"/>
          <w:szCs w:val="24"/>
        </w:rPr>
        <w:t xml:space="preserve"> Geyer et al. (2004) </w:t>
      </w:r>
      <w:r w:rsidR="00C6584E">
        <w:rPr>
          <w:sz w:val="24"/>
          <w:szCs w:val="24"/>
        </w:rPr>
        <w:t xml:space="preserve">conclude </w:t>
      </w:r>
      <w:r w:rsidR="00F71100" w:rsidRPr="004B2AE6">
        <w:rPr>
          <w:sz w:val="24"/>
          <w:szCs w:val="24"/>
        </w:rPr>
        <w:t>that Euro sovereign bond spreads are linked to Euro corporate bond and swap spreads</w:t>
      </w:r>
      <w:r w:rsidR="0076797F" w:rsidRPr="004B2AE6">
        <w:rPr>
          <w:sz w:val="24"/>
          <w:szCs w:val="24"/>
        </w:rPr>
        <w:t xml:space="preserve"> rather than country-specific fundamentals</w:t>
      </w:r>
      <w:r w:rsidR="00F71100" w:rsidRPr="004B2AE6">
        <w:rPr>
          <w:sz w:val="24"/>
          <w:szCs w:val="24"/>
        </w:rPr>
        <w:t>.</w:t>
      </w:r>
    </w:p>
    <w:p w:rsidR="009406CA" w:rsidRPr="004B2AE6" w:rsidRDefault="00210350" w:rsidP="00BE50DA">
      <w:pPr>
        <w:spacing w:line="360" w:lineRule="auto"/>
        <w:ind w:firstLine="360"/>
        <w:contextualSpacing/>
        <w:jc w:val="both"/>
        <w:rPr>
          <w:sz w:val="24"/>
          <w:szCs w:val="24"/>
        </w:rPr>
      </w:pPr>
      <w:r w:rsidRPr="004B2AE6">
        <w:rPr>
          <w:sz w:val="24"/>
          <w:szCs w:val="24"/>
        </w:rPr>
        <w:t>Some evidence of credit and liquidity</w:t>
      </w:r>
      <w:r w:rsidR="00F825F5" w:rsidRPr="004B2AE6">
        <w:rPr>
          <w:sz w:val="24"/>
          <w:szCs w:val="24"/>
        </w:rPr>
        <w:t xml:space="preserve"> risks</w:t>
      </w:r>
      <w:r w:rsidRPr="004B2AE6">
        <w:rPr>
          <w:sz w:val="24"/>
          <w:szCs w:val="24"/>
        </w:rPr>
        <w:t xml:space="preserve"> </w:t>
      </w:r>
      <w:r w:rsidR="00F825F5" w:rsidRPr="004B2AE6">
        <w:rPr>
          <w:sz w:val="24"/>
          <w:szCs w:val="24"/>
        </w:rPr>
        <w:t>is</w:t>
      </w:r>
      <w:r w:rsidRPr="004B2AE6">
        <w:rPr>
          <w:sz w:val="24"/>
          <w:szCs w:val="24"/>
        </w:rPr>
        <w:t xml:space="preserve"> present </w:t>
      </w:r>
      <w:r w:rsidR="00F825F5" w:rsidRPr="004B2AE6">
        <w:rPr>
          <w:sz w:val="24"/>
          <w:szCs w:val="24"/>
        </w:rPr>
        <w:t xml:space="preserve">in Euro-zone sovereign bond yields </w:t>
      </w:r>
      <w:r w:rsidRPr="004B2AE6">
        <w:rPr>
          <w:sz w:val="24"/>
          <w:szCs w:val="24"/>
        </w:rPr>
        <w:t xml:space="preserve">before the </w:t>
      </w:r>
      <w:r w:rsidR="009E3671" w:rsidRPr="004B2AE6">
        <w:rPr>
          <w:sz w:val="24"/>
          <w:szCs w:val="24"/>
        </w:rPr>
        <w:t xml:space="preserve">start of the </w:t>
      </w:r>
      <w:r w:rsidRPr="004B2AE6">
        <w:rPr>
          <w:sz w:val="24"/>
          <w:szCs w:val="24"/>
        </w:rPr>
        <w:t xml:space="preserve">2007 subprime financial crisis. </w:t>
      </w:r>
      <w:r w:rsidR="009406CA" w:rsidRPr="004B2AE6">
        <w:rPr>
          <w:sz w:val="24"/>
          <w:szCs w:val="24"/>
        </w:rPr>
        <w:t xml:space="preserve">Codogno et al. (2003) find liquidity to play only a small role in </w:t>
      </w:r>
      <w:r w:rsidR="00031951" w:rsidRPr="004B2AE6">
        <w:rPr>
          <w:sz w:val="24"/>
          <w:szCs w:val="24"/>
        </w:rPr>
        <w:t xml:space="preserve">explaining yield differentials. </w:t>
      </w:r>
      <w:r w:rsidR="009406CA" w:rsidRPr="004B2AE6">
        <w:rPr>
          <w:sz w:val="24"/>
          <w:szCs w:val="24"/>
        </w:rPr>
        <w:t>Beber et al. (2009) conclude that credit risk usually accounts for the largest part of sovereign bond spreads but liquidity risk gains importance in times of market uncertainty.</w:t>
      </w:r>
      <w:r w:rsidR="00031951" w:rsidRPr="004B2AE6">
        <w:rPr>
          <w:sz w:val="24"/>
          <w:szCs w:val="24"/>
        </w:rPr>
        <w:t xml:space="preserve"> </w:t>
      </w:r>
      <w:r w:rsidR="00C361DF" w:rsidRPr="004B2AE6">
        <w:rPr>
          <w:sz w:val="24"/>
          <w:szCs w:val="24"/>
        </w:rPr>
        <w:t>Caporale et al. (2012) links market liquidity of Euro-zone sovereign bonds to trading imbalances</w:t>
      </w:r>
      <w:r w:rsidR="009E3671" w:rsidRPr="004B2AE6">
        <w:rPr>
          <w:sz w:val="24"/>
          <w:szCs w:val="24"/>
        </w:rPr>
        <w:t xml:space="preserve">, macroeconomic announcements, stock market volatility and ECB liquidity provisions. </w:t>
      </w:r>
      <w:r w:rsidR="009406CA" w:rsidRPr="004B2AE6">
        <w:rPr>
          <w:sz w:val="24"/>
          <w:szCs w:val="24"/>
        </w:rPr>
        <w:t>Manganelli and Volswijk (2009) and ECB (2007) decompose the yield spreads over the German bund into credit and liquidity risk premiums since the euro was adopted. Both studies show that the credit risk for high rated Euro-zone sovereigns (AAA and AA+) remain</w:t>
      </w:r>
      <w:r w:rsidR="003E0FE4">
        <w:rPr>
          <w:sz w:val="24"/>
          <w:szCs w:val="24"/>
        </w:rPr>
        <w:t>ed</w:t>
      </w:r>
      <w:r w:rsidR="009406CA" w:rsidRPr="004B2AE6">
        <w:rPr>
          <w:sz w:val="24"/>
          <w:szCs w:val="24"/>
        </w:rPr>
        <w:t xml:space="preserve"> relatively constant throughout the sample</w:t>
      </w:r>
      <w:r w:rsidR="003E0FE4">
        <w:rPr>
          <w:sz w:val="24"/>
          <w:szCs w:val="24"/>
        </w:rPr>
        <w:t>,</w:t>
      </w:r>
      <w:r w:rsidR="009406CA" w:rsidRPr="004B2AE6">
        <w:rPr>
          <w:sz w:val="24"/>
          <w:szCs w:val="24"/>
        </w:rPr>
        <w:t xml:space="preserve"> </w:t>
      </w:r>
      <w:r w:rsidR="003E0FE4">
        <w:rPr>
          <w:sz w:val="24"/>
          <w:szCs w:val="24"/>
        </w:rPr>
        <w:t xml:space="preserve">unlike </w:t>
      </w:r>
      <w:r w:rsidR="00C228A4">
        <w:rPr>
          <w:sz w:val="24"/>
          <w:szCs w:val="24"/>
        </w:rPr>
        <w:t xml:space="preserve">liquidity risk and </w:t>
      </w:r>
      <w:r w:rsidR="009406CA" w:rsidRPr="004B2AE6">
        <w:rPr>
          <w:sz w:val="24"/>
          <w:szCs w:val="24"/>
        </w:rPr>
        <w:t xml:space="preserve">the credit risk </w:t>
      </w:r>
      <w:r w:rsidR="003E0FE4">
        <w:rPr>
          <w:sz w:val="24"/>
          <w:szCs w:val="24"/>
        </w:rPr>
        <w:t xml:space="preserve">of </w:t>
      </w:r>
      <w:r w:rsidR="009406CA" w:rsidRPr="004B2AE6">
        <w:rPr>
          <w:sz w:val="24"/>
          <w:szCs w:val="24"/>
        </w:rPr>
        <w:t xml:space="preserve">all other lower rated Euro-zone sovereigns. </w:t>
      </w:r>
    </w:p>
    <w:p w:rsidR="00822478" w:rsidRPr="004B2AE6" w:rsidRDefault="00822478" w:rsidP="00BE50DA">
      <w:pPr>
        <w:pStyle w:val="Paragrafoelenco"/>
        <w:spacing w:line="360" w:lineRule="auto"/>
        <w:rPr>
          <w:sz w:val="24"/>
          <w:szCs w:val="24"/>
        </w:rPr>
      </w:pPr>
    </w:p>
    <w:p w:rsidR="00822478" w:rsidRPr="004B2AE6" w:rsidRDefault="00713B9D" w:rsidP="00BE50DA">
      <w:pPr>
        <w:pStyle w:val="Paragrafoelenco"/>
        <w:numPr>
          <w:ilvl w:val="0"/>
          <w:numId w:val="1"/>
        </w:numPr>
        <w:spacing w:line="360" w:lineRule="auto"/>
        <w:rPr>
          <w:sz w:val="24"/>
          <w:szCs w:val="24"/>
        </w:rPr>
      </w:pPr>
      <w:r w:rsidRPr="004B2AE6">
        <w:rPr>
          <w:sz w:val="24"/>
          <w:szCs w:val="24"/>
        </w:rPr>
        <w:t>Data</w:t>
      </w:r>
    </w:p>
    <w:p w:rsidR="00086887" w:rsidRPr="004B2AE6" w:rsidRDefault="00CB18D6" w:rsidP="00BE50DA">
      <w:pPr>
        <w:spacing w:line="360" w:lineRule="auto"/>
        <w:ind w:firstLine="360"/>
        <w:contextualSpacing/>
        <w:jc w:val="both"/>
        <w:rPr>
          <w:rFonts w:ascii="cmr10" w:hAnsi="cmr10" w:cs="cmr10"/>
          <w:sz w:val="24"/>
          <w:szCs w:val="24"/>
        </w:rPr>
      </w:pPr>
      <w:r w:rsidRPr="004B2AE6">
        <w:rPr>
          <w:sz w:val="24"/>
          <w:szCs w:val="24"/>
        </w:rPr>
        <w:t>In this study, w</w:t>
      </w:r>
      <w:r w:rsidR="00086887" w:rsidRPr="004B2AE6">
        <w:rPr>
          <w:sz w:val="24"/>
          <w:szCs w:val="24"/>
        </w:rPr>
        <w:t xml:space="preserve">e use </w:t>
      </w:r>
      <w:r w:rsidRPr="004B2AE6">
        <w:rPr>
          <w:sz w:val="24"/>
          <w:szCs w:val="24"/>
        </w:rPr>
        <w:t xml:space="preserve">a </w:t>
      </w:r>
      <w:r w:rsidR="00086887" w:rsidRPr="004B2AE6">
        <w:rPr>
          <w:sz w:val="24"/>
          <w:szCs w:val="24"/>
        </w:rPr>
        <w:t xml:space="preserve">comprehensive database </w:t>
      </w:r>
      <w:r w:rsidR="002523FE">
        <w:rPr>
          <w:sz w:val="24"/>
          <w:szCs w:val="24"/>
        </w:rPr>
        <w:t xml:space="preserve">of </w:t>
      </w:r>
      <w:r w:rsidR="002523FE" w:rsidRPr="004B2AE6">
        <w:rPr>
          <w:sz w:val="24"/>
          <w:szCs w:val="24"/>
        </w:rPr>
        <w:t xml:space="preserve">tick-by-tick tradable prices </w:t>
      </w:r>
      <w:r w:rsidR="002523FE">
        <w:rPr>
          <w:sz w:val="24"/>
          <w:szCs w:val="24"/>
        </w:rPr>
        <w:t xml:space="preserve">for </w:t>
      </w:r>
      <w:r w:rsidR="002523FE" w:rsidRPr="004B2AE6">
        <w:rPr>
          <w:sz w:val="24"/>
          <w:szCs w:val="24"/>
        </w:rPr>
        <w:t xml:space="preserve">European government </w:t>
      </w:r>
      <w:r w:rsidR="002523FE">
        <w:rPr>
          <w:sz w:val="24"/>
          <w:szCs w:val="24"/>
        </w:rPr>
        <w:t xml:space="preserve">bonds </w:t>
      </w:r>
      <w:r w:rsidR="00086887" w:rsidRPr="004B2AE6">
        <w:rPr>
          <w:sz w:val="24"/>
          <w:szCs w:val="24"/>
        </w:rPr>
        <w:t xml:space="preserve">provided by </w:t>
      </w:r>
      <w:r w:rsidR="002523FE">
        <w:rPr>
          <w:sz w:val="24"/>
          <w:szCs w:val="24"/>
        </w:rPr>
        <w:t>the MTS intra-dealer platform of the London Stock Exchange</w:t>
      </w:r>
      <w:r w:rsidR="00086887" w:rsidRPr="004B2AE6">
        <w:rPr>
          <w:sz w:val="24"/>
          <w:szCs w:val="24"/>
        </w:rPr>
        <w:t>. MTS co</w:t>
      </w:r>
      <w:r w:rsidR="00017352" w:rsidRPr="004B2AE6">
        <w:rPr>
          <w:sz w:val="24"/>
          <w:szCs w:val="24"/>
        </w:rPr>
        <w:t>mprises bond information from 18</w:t>
      </w:r>
      <w:r w:rsidR="00086887" w:rsidRPr="004B2AE6">
        <w:rPr>
          <w:sz w:val="24"/>
          <w:szCs w:val="24"/>
        </w:rPr>
        <w:t xml:space="preserve"> local cash markets and the European Benchmark Market (</w:t>
      </w:r>
      <w:r w:rsidR="002B36DF" w:rsidRPr="004B2AE6">
        <w:rPr>
          <w:sz w:val="24"/>
          <w:szCs w:val="24"/>
        </w:rPr>
        <w:t>EBM</w:t>
      </w:r>
      <w:r w:rsidR="00086887" w:rsidRPr="004B2AE6">
        <w:rPr>
          <w:sz w:val="24"/>
          <w:szCs w:val="24"/>
        </w:rPr>
        <w:t>)</w:t>
      </w:r>
      <w:r w:rsidR="002B36DF" w:rsidRPr="004B2AE6">
        <w:rPr>
          <w:sz w:val="24"/>
          <w:szCs w:val="24"/>
        </w:rPr>
        <w:t>, or EuroMTS,</w:t>
      </w:r>
      <w:r w:rsidR="00086887" w:rsidRPr="004B2AE6">
        <w:rPr>
          <w:sz w:val="24"/>
          <w:szCs w:val="24"/>
        </w:rPr>
        <w:t xml:space="preserve"> where only Euro benchmark bonds are traded.</w:t>
      </w:r>
      <w:r w:rsidR="002335E1" w:rsidRPr="004B2AE6">
        <w:rPr>
          <w:rStyle w:val="Rimandonotaapidipagina"/>
          <w:sz w:val="24"/>
          <w:szCs w:val="24"/>
        </w:rPr>
        <w:footnoteReference w:id="3"/>
      </w:r>
      <w:r w:rsidR="00086887" w:rsidRPr="004B2AE6">
        <w:rPr>
          <w:sz w:val="24"/>
          <w:szCs w:val="24"/>
        </w:rPr>
        <w:t xml:space="preserve"> Euro benchmark bonds must have an outstanding value of at least € 5 billion (Dufour and Skinner, 2004) and their quotes can be submitted simultaneously to both the local cash platform and on EuroMTS. With an average dai</w:t>
      </w:r>
      <w:r w:rsidR="00860B0A" w:rsidRPr="004B2AE6">
        <w:rPr>
          <w:sz w:val="24"/>
          <w:szCs w:val="24"/>
        </w:rPr>
        <w:t>ly turnover of more than Euro 100</w:t>
      </w:r>
      <w:r w:rsidR="00086887" w:rsidRPr="004B2AE6">
        <w:rPr>
          <w:sz w:val="24"/>
          <w:szCs w:val="24"/>
        </w:rPr>
        <w:t xml:space="preserve"> billion, MTS provides the best data source for the analysis of European government bonds.</w:t>
      </w:r>
      <w:r w:rsidR="005D5B47" w:rsidRPr="004B2AE6">
        <w:rPr>
          <w:rStyle w:val="Rimandonotaapidipagina"/>
          <w:sz w:val="24"/>
          <w:szCs w:val="24"/>
        </w:rPr>
        <w:footnoteReference w:id="4"/>
      </w:r>
      <w:r w:rsidR="00086887" w:rsidRPr="004B2AE6">
        <w:rPr>
          <w:sz w:val="24"/>
          <w:szCs w:val="24"/>
        </w:rPr>
        <w:t xml:space="preserve"> </w:t>
      </w:r>
      <w:r w:rsidR="005D5B47" w:rsidRPr="004B2AE6">
        <w:rPr>
          <w:sz w:val="24"/>
          <w:szCs w:val="24"/>
        </w:rPr>
        <w:t xml:space="preserve">More information regarding the market microstructure of the MTS platforms is presented in </w:t>
      </w:r>
      <w:r w:rsidR="00086887" w:rsidRPr="004B2AE6">
        <w:rPr>
          <w:sz w:val="24"/>
          <w:szCs w:val="24"/>
        </w:rPr>
        <w:lastRenderedPageBreak/>
        <w:t>Cheung et al. (2005) and Dunne et al. (2006</w:t>
      </w:r>
      <w:r w:rsidR="005D5B47" w:rsidRPr="004B2AE6">
        <w:rPr>
          <w:sz w:val="24"/>
          <w:szCs w:val="24"/>
        </w:rPr>
        <w:t>) whereas the price discovery mechanisms are discussed in Dufour and Nguyen (2011) and Caporale and Girardi (2013).</w:t>
      </w:r>
      <w:r w:rsidR="005D5B47" w:rsidRPr="004B2AE6">
        <w:rPr>
          <w:rStyle w:val="Rimandonotaapidipagina"/>
          <w:sz w:val="24"/>
          <w:szCs w:val="24"/>
        </w:rPr>
        <w:footnoteReference w:id="5"/>
      </w:r>
    </w:p>
    <w:p w:rsidR="00086887" w:rsidRPr="004B2AE6" w:rsidRDefault="00086887" w:rsidP="00BE50DA">
      <w:pPr>
        <w:spacing w:line="360" w:lineRule="auto"/>
        <w:ind w:firstLine="360"/>
        <w:contextualSpacing/>
        <w:jc w:val="both"/>
        <w:rPr>
          <w:sz w:val="24"/>
          <w:szCs w:val="24"/>
        </w:rPr>
      </w:pPr>
      <w:r w:rsidRPr="004B2AE6">
        <w:rPr>
          <w:sz w:val="24"/>
          <w:szCs w:val="24"/>
        </w:rPr>
        <w:t xml:space="preserve">Starting in 2003, MTS Time Series offers high frequency historical bond data that contain the best three bid and ask prices together with their </w:t>
      </w:r>
      <w:r w:rsidR="00994391" w:rsidRPr="004B2AE6">
        <w:rPr>
          <w:sz w:val="24"/>
          <w:szCs w:val="24"/>
        </w:rPr>
        <w:t>corresponding tradable size</w:t>
      </w:r>
      <w:r w:rsidR="00CA7219" w:rsidRPr="004B2AE6">
        <w:rPr>
          <w:sz w:val="24"/>
          <w:szCs w:val="24"/>
        </w:rPr>
        <w:t xml:space="preserve"> in millions</w:t>
      </w:r>
      <w:r w:rsidRPr="004B2AE6">
        <w:rPr>
          <w:sz w:val="24"/>
          <w:szCs w:val="24"/>
        </w:rPr>
        <w:t xml:space="preserve">, and complete information regarding executed trades. Quotes are updated at the millisecond. </w:t>
      </w:r>
      <w:r w:rsidR="00D55B55" w:rsidRPr="004B2AE6">
        <w:rPr>
          <w:sz w:val="24"/>
          <w:szCs w:val="24"/>
        </w:rPr>
        <w:t xml:space="preserve">We considered </w:t>
      </w:r>
      <w:r w:rsidR="00CA7219" w:rsidRPr="004B2AE6">
        <w:rPr>
          <w:sz w:val="24"/>
          <w:szCs w:val="24"/>
        </w:rPr>
        <w:t xml:space="preserve">only the information for the best bid and ask prices throughout the analysis. </w:t>
      </w:r>
      <w:r w:rsidRPr="004B2AE6">
        <w:rPr>
          <w:sz w:val="24"/>
          <w:szCs w:val="24"/>
        </w:rPr>
        <w:t>We select a samp</w:t>
      </w:r>
      <w:r w:rsidR="0086260D" w:rsidRPr="004B2AE6">
        <w:rPr>
          <w:sz w:val="24"/>
          <w:szCs w:val="24"/>
        </w:rPr>
        <w:t xml:space="preserve">le over a period of more than 10 </w:t>
      </w:r>
      <w:r w:rsidRPr="004B2AE6">
        <w:rPr>
          <w:sz w:val="24"/>
          <w:szCs w:val="24"/>
        </w:rPr>
        <w:t xml:space="preserve">years, from April 2003 to December </w:t>
      </w:r>
      <w:r w:rsidR="0086260D" w:rsidRPr="004B2AE6">
        <w:rPr>
          <w:sz w:val="24"/>
          <w:szCs w:val="24"/>
        </w:rPr>
        <w:t>2013</w:t>
      </w:r>
      <w:r w:rsidR="00DB5639" w:rsidRPr="004B2AE6">
        <w:rPr>
          <w:sz w:val="24"/>
          <w:szCs w:val="24"/>
        </w:rPr>
        <w:t>, which</w:t>
      </w:r>
      <w:r w:rsidRPr="004B2AE6">
        <w:rPr>
          <w:sz w:val="24"/>
          <w:szCs w:val="24"/>
        </w:rPr>
        <w:t xml:space="preserve"> include</w:t>
      </w:r>
      <w:r w:rsidR="00DB5639" w:rsidRPr="004B2AE6">
        <w:rPr>
          <w:sz w:val="24"/>
          <w:szCs w:val="24"/>
        </w:rPr>
        <w:t>s</w:t>
      </w:r>
      <w:r w:rsidRPr="004B2AE6">
        <w:rPr>
          <w:sz w:val="24"/>
          <w:szCs w:val="24"/>
        </w:rPr>
        <w:t xml:space="preserve"> </w:t>
      </w:r>
      <w:r w:rsidR="00936D02" w:rsidRPr="004B2AE6">
        <w:rPr>
          <w:sz w:val="24"/>
          <w:szCs w:val="24"/>
        </w:rPr>
        <w:t>563</w:t>
      </w:r>
      <w:r w:rsidRPr="004B2AE6">
        <w:rPr>
          <w:sz w:val="24"/>
          <w:szCs w:val="24"/>
        </w:rPr>
        <w:t xml:space="preserve"> </w:t>
      </w:r>
      <w:r w:rsidR="00CD3140" w:rsidRPr="004B2AE6">
        <w:rPr>
          <w:sz w:val="24"/>
          <w:szCs w:val="24"/>
        </w:rPr>
        <w:t>government</w:t>
      </w:r>
      <w:r w:rsidRPr="004B2AE6">
        <w:rPr>
          <w:sz w:val="24"/>
          <w:szCs w:val="24"/>
        </w:rPr>
        <w:t xml:space="preserve"> bonds </w:t>
      </w:r>
      <w:r w:rsidR="002523FE">
        <w:rPr>
          <w:sz w:val="24"/>
          <w:szCs w:val="24"/>
        </w:rPr>
        <w:t xml:space="preserve">that </w:t>
      </w:r>
      <w:r w:rsidRPr="004B2AE6">
        <w:rPr>
          <w:sz w:val="24"/>
          <w:szCs w:val="24"/>
        </w:rPr>
        <w:t xml:space="preserve">belong to 11 Euro-zone countries: Austria, Belgium, Finland, France, Germany, Greece, Italy, Ireland, Netherlands, Portugal and Spain. </w:t>
      </w:r>
      <w:r w:rsidR="00CD3140" w:rsidRPr="004B2AE6">
        <w:rPr>
          <w:sz w:val="24"/>
          <w:szCs w:val="24"/>
        </w:rPr>
        <w:t xml:space="preserve">All selected bonds are fixed-coupon </w:t>
      </w:r>
      <w:r w:rsidRPr="004B2AE6">
        <w:rPr>
          <w:sz w:val="24"/>
          <w:szCs w:val="24"/>
        </w:rPr>
        <w:t>benchmark bonds</w:t>
      </w:r>
      <w:r w:rsidR="00BF3D3E" w:rsidRPr="004B2AE6">
        <w:rPr>
          <w:sz w:val="24"/>
          <w:szCs w:val="24"/>
        </w:rPr>
        <w:t xml:space="preserve">, have a maximum time to maturity of 51 years and </w:t>
      </w:r>
      <w:r w:rsidR="00CD3140" w:rsidRPr="004B2AE6">
        <w:rPr>
          <w:sz w:val="24"/>
          <w:szCs w:val="24"/>
        </w:rPr>
        <w:t>trade on both the local cash market and EuroMTS.</w:t>
      </w:r>
      <w:r w:rsidR="00EB4F14" w:rsidRPr="004B2AE6">
        <w:rPr>
          <w:rStyle w:val="Rimandonotaapidipagina"/>
          <w:sz w:val="24"/>
          <w:szCs w:val="24"/>
        </w:rPr>
        <w:footnoteReference w:id="6"/>
      </w:r>
      <w:r w:rsidR="00D36E5C" w:rsidRPr="004B2AE6">
        <w:rPr>
          <w:sz w:val="24"/>
          <w:szCs w:val="24"/>
        </w:rPr>
        <w:t xml:space="preserve"> </w:t>
      </w:r>
    </w:p>
    <w:p w:rsidR="00086887" w:rsidRPr="004B2AE6" w:rsidRDefault="00086887" w:rsidP="00BE50DA">
      <w:pPr>
        <w:spacing w:line="360" w:lineRule="auto"/>
        <w:ind w:firstLine="360"/>
        <w:contextualSpacing/>
        <w:jc w:val="both"/>
        <w:rPr>
          <w:sz w:val="24"/>
          <w:szCs w:val="24"/>
        </w:rPr>
      </w:pPr>
      <w:r w:rsidRPr="004B2AE6">
        <w:rPr>
          <w:sz w:val="24"/>
          <w:szCs w:val="24"/>
        </w:rPr>
        <w:t xml:space="preserve">As is the case with any high frequency dataset, some steps are required </w:t>
      </w:r>
      <w:r w:rsidR="00070981">
        <w:rPr>
          <w:sz w:val="24"/>
          <w:szCs w:val="24"/>
        </w:rPr>
        <w:t xml:space="preserve">to </w:t>
      </w:r>
      <w:r w:rsidRPr="004B2AE6">
        <w:rPr>
          <w:sz w:val="24"/>
          <w:szCs w:val="24"/>
        </w:rPr>
        <w:t xml:space="preserve">clean the data before </w:t>
      </w:r>
      <w:r w:rsidR="00070981">
        <w:rPr>
          <w:sz w:val="24"/>
          <w:szCs w:val="24"/>
        </w:rPr>
        <w:t xml:space="preserve">they can be used in the </w:t>
      </w:r>
      <w:r w:rsidRPr="004B2AE6">
        <w:rPr>
          <w:sz w:val="24"/>
          <w:szCs w:val="24"/>
        </w:rPr>
        <w:t xml:space="preserve">analysis: </w:t>
      </w:r>
    </w:p>
    <w:p w:rsidR="00086887" w:rsidRPr="004B2AE6" w:rsidRDefault="00086887" w:rsidP="00BE50DA">
      <w:pPr>
        <w:pStyle w:val="Paragrafoelenco"/>
        <w:numPr>
          <w:ilvl w:val="0"/>
          <w:numId w:val="4"/>
        </w:numPr>
        <w:spacing w:line="360" w:lineRule="auto"/>
        <w:jc w:val="both"/>
        <w:rPr>
          <w:sz w:val="24"/>
          <w:szCs w:val="24"/>
        </w:rPr>
      </w:pPr>
      <w:r w:rsidRPr="004B2AE6">
        <w:rPr>
          <w:sz w:val="24"/>
          <w:szCs w:val="24"/>
        </w:rPr>
        <w:t xml:space="preserve">We select only quotes and trades registered when the market is open, between 8:15 AM and 5:30 PM Central European Time (CET). </w:t>
      </w:r>
    </w:p>
    <w:p w:rsidR="00070981" w:rsidRDefault="00086887" w:rsidP="00BE50DA">
      <w:pPr>
        <w:pStyle w:val="Paragrafoelenco"/>
        <w:numPr>
          <w:ilvl w:val="0"/>
          <w:numId w:val="4"/>
        </w:numPr>
        <w:spacing w:line="360" w:lineRule="auto"/>
        <w:jc w:val="both"/>
        <w:rPr>
          <w:sz w:val="24"/>
          <w:szCs w:val="24"/>
        </w:rPr>
      </w:pPr>
      <w:r w:rsidRPr="00070981">
        <w:rPr>
          <w:sz w:val="24"/>
          <w:szCs w:val="24"/>
        </w:rPr>
        <w:t>All quote updates</w:t>
      </w:r>
      <w:r w:rsidR="00F21588" w:rsidRPr="00070981">
        <w:rPr>
          <w:sz w:val="24"/>
          <w:szCs w:val="24"/>
        </w:rPr>
        <w:t xml:space="preserve"> on each market (local and EuroMTS)</w:t>
      </w:r>
      <w:r w:rsidR="006B01A0" w:rsidRPr="00BB64E9">
        <w:rPr>
          <w:sz w:val="24"/>
          <w:szCs w:val="24"/>
        </w:rPr>
        <w:t xml:space="preserve"> </w:t>
      </w:r>
      <w:r w:rsidRPr="00BB64E9">
        <w:rPr>
          <w:sz w:val="24"/>
          <w:szCs w:val="24"/>
        </w:rPr>
        <w:t xml:space="preserve">that have a bid price higher than or equal to the ask price are eliminated. </w:t>
      </w:r>
    </w:p>
    <w:p w:rsidR="00086887" w:rsidRPr="00BB64E9" w:rsidRDefault="00086887" w:rsidP="00BE50DA">
      <w:pPr>
        <w:pStyle w:val="Paragrafoelenco"/>
        <w:numPr>
          <w:ilvl w:val="0"/>
          <w:numId w:val="4"/>
        </w:numPr>
        <w:spacing w:line="360" w:lineRule="auto"/>
        <w:jc w:val="both"/>
        <w:rPr>
          <w:sz w:val="24"/>
          <w:szCs w:val="24"/>
        </w:rPr>
      </w:pPr>
      <w:r w:rsidRPr="00070981">
        <w:rPr>
          <w:sz w:val="24"/>
          <w:szCs w:val="24"/>
        </w:rPr>
        <w:t xml:space="preserve">Quote information from both the local market and EBM is consolidated to form a new order book. </w:t>
      </w:r>
    </w:p>
    <w:p w:rsidR="00BB64E9" w:rsidRPr="004B2AE6" w:rsidRDefault="009E28A5" w:rsidP="00BE50DA">
      <w:pPr>
        <w:pStyle w:val="Paragrafoelenco"/>
        <w:numPr>
          <w:ilvl w:val="0"/>
          <w:numId w:val="4"/>
        </w:numPr>
        <w:spacing w:line="360" w:lineRule="auto"/>
        <w:jc w:val="both"/>
        <w:rPr>
          <w:sz w:val="24"/>
          <w:szCs w:val="24"/>
        </w:rPr>
      </w:pPr>
      <w:r w:rsidRPr="004B2AE6">
        <w:rPr>
          <w:sz w:val="24"/>
          <w:szCs w:val="24"/>
        </w:rPr>
        <w:t>W</w:t>
      </w:r>
      <w:r w:rsidR="00086887" w:rsidRPr="004B2AE6">
        <w:rPr>
          <w:sz w:val="24"/>
          <w:szCs w:val="24"/>
        </w:rPr>
        <w:t>e</w:t>
      </w:r>
      <w:r w:rsidR="00822CB4" w:rsidRPr="004B2AE6">
        <w:rPr>
          <w:sz w:val="24"/>
          <w:szCs w:val="24"/>
        </w:rPr>
        <w:t xml:space="preserve"> </w:t>
      </w:r>
      <w:r w:rsidRPr="004B2AE6">
        <w:rPr>
          <w:sz w:val="24"/>
          <w:szCs w:val="24"/>
        </w:rPr>
        <w:t xml:space="preserve">also </w:t>
      </w:r>
      <w:r w:rsidR="00822CB4" w:rsidRPr="004B2AE6">
        <w:rPr>
          <w:sz w:val="24"/>
          <w:szCs w:val="24"/>
        </w:rPr>
        <w:t xml:space="preserve">address the issue of extremely high intraday </w:t>
      </w:r>
      <w:r w:rsidR="00BB64E9">
        <w:rPr>
          <w:sz w:val="24"/>
          <w:szCs w:val="24"/>
        </w:rPr>
        <w:t xml:space="preserve">bid ask spreads (pSPR) </w:t>
      </w:r>
      <w:r w:rsidR="00822CB4" w:rsidRPr="004B2AE6">
        <w:rPr>
          <w:sz w:val="24"/>
          <w:szCs w:val="24"/>
        </w:rPr>
        <w:t xml:space="preserve">by </w:t>
      </w:r>
      <w:r w:rsidR="003836E8" w:rsidRPr="004B2AE6">
        <w:rPr>
          <w:sz w:val="24"/>
          <w:szCs w:val="24"/>
        </w:rPr>
        <w:t>using</w:t>
      </w:r>
      <w:r w:rsidR="00822CB4" w:rsidRPr="004B2AE6">
        <w:rPr>
          <w:sz w:val="24"/>
          <w:szCs w:val="24"/>
        </w:rPr>
        <w:t xml:space="preserve"> a</w:t>
      </w:r>
      <w:r w:rsidR="003836E8" w:rsidRPr="004B2AE6">
        <w:rPr>
          <w:sz w:val="24"/>
          <w:szCs w:val="24"/>
        </w:rPr>
        <w:t xml:space="preserve"> bond specific</w:t>
      </w:r>
      <w:r w:rsidR="00822CB4" w:rsidRPr="004B2AE6">
        <w:rPr>
          <w:sz w:val="24"/>
          <w:szCs w:val="24"/>
        </w:rPr>
        <w:t xml:space="preserve"> filter. </w:t>
      </w:r>
      <w:r w:rsidR="003836E8" w:rsidRPr="004B2AE6">
        <w:rPr>
          <w:sz w:val="24"/>
          <w:szCs w:val="24"/>
        </w:rPr>
        <w:t>The specific filter is applied each year and excludes</w:t>
      </w:r>
      <w:r w:rsidR="00822CB4" w:rsidRPr="004B2AE6">
        <w:rPr>
          <w:sz w:val="24"/>
          <w:szCs w:val="24"/>
        </w:rPr>
        <w:t xml:space="preserve"> the top 1% </w:t>
      </w:r>
      <w:r w:rsidR="00BF69B9" w:rsidRPr="004B2AE6">
        <w:rPr>
          <w:sz w:val="24"/>
          <w:szCs w:val="24"/>
        </w:rPr>
        <w:t>p</w:t>
      </w:r>
      <w:r w:rsidR="00822CB4" w:rsidRPr="004B2AE6">
        <w:rPr>
          <w:sz w:val="24"/>
          <w:szCs w:val="24"/>
        </w:rPr>
        <w:t xml:space="preserve">SPR for each bond. </w:t>
      </w:r>
      <w:r w:rsidR="00086887" w:rsidRPr="004B2AE6">
        <w:rPr>
          <w:sz w:val="24"/>
          <w:szCs w:val="24"/>
        </w:rPr>
        <w:t>Th</w:t>
      </w:r>
      <w:r w:rsidR="00BB64E9">
        <w:rPr>
          <w:sz w:val="24"/>
          <w:szCs w:val="24"/>
        </w:rPr>
        <w:t xml:space="preserve">is </w:t>
      </w:r>
      <w:r w:rsidR="00086887" w:rsidRPr="004B2AE6">
        <w:rPr>
          <w:sz w:val="24"/>
          <w:szCs w:val="24"/>
        </w:rPr>
        <w:t xml:space="preserve">filter should take care of any extreme and untradeable quote revisions without hindering the informational </w:t>
      </w:r>
      <w:r w:rsidR="00BB64E9">
        <w:rPr>
          <w:sz w:val="24"/>
          <w:szCs w:val="24"/>
        </w:rPr>
        <w:t xml:space="preserve">content </w:t>
      </w:r>
      <w:r w:rsidR="00086887" w:rsidRPr="004B2AE6">
        <w:rPr>
          <w:sz w:val="24"/>
          <w:szCs w:val="24"/>
        </w:rPr>
        <w:t xml:space="preserve">of the order book.              </w:t>
      </w:r>
    </w:p>
    <w:p w:rsidR="00BB64E9" w:rsidRPr="007B689B" w:rsidRDefault="001245F2" w:rsidP="00BE50DA">
      <w:pPr>
        <w:pStyle w:val="Paragrafoelenco"/>
        <w:numPr>
          <w:ilvl w:val="0"/>
          <w:numId w:val="4"/>
        </w:numPr>
        <w:spacing w:line="360" w:lineRule="auto"/>
        <w:jc w:val="both"/>
        <w:rPr>
          <w:sz w:val="24"/>
          <w:szCs w:val="24"/>
        </w:rPr>
      </w:pPr>
      <w:r w:rsidRPr="007B689B">
        <w:rPr>
          <w:sz w:val="24"/>
          <w:szCs w:val="24"/>
        </w:rPr>
        <w:lastRenderedPageBreak/>
        <w:t xml:space="preserve">We use the </w:t>
      </w:r>
      <w:r w:rsidR="00BB64E9" w:rsidRPr="007B689B">
        <w:rPr>
          <w:sz w:val="24"/>
          <w:szCs w:val="24"/>
        </w:rPr>
        <w:t xml:space="preserve">consolidated </w:t>
      </w:r>
      <w:r w:rsidRPr="007B689B">
        <w:rPr>
          <w:sz w:val="24"/>
          <w:szCs w:val="24"/>
        </w:rPr>
        <w:t>order book to first obtain</w:t>
      </w:r>
      <w:r w:rsidR="00803331" w:rsidRPr="007B689B">
        <w:rPr>
          <w:sz w:val="24"/>
          <w:szCs w:val="24"/>
        </w:rPr>
        <w:t xml:space="preserve"> the</w:t>
      </w:r>
      <w:r w:rsidRPr="007B689B">
        <w:rPr>
          <w:sz w:val="24"/>
          <w:szCs w:val="24"/>
        </w:rPr>
        <w:t xml:space="preserve"> bond mid-price available at 5:00 PM CET each day.</w:t>
      </w:r>
      <w:r w:rsidR="00657139" w:rsidRPr="007B689B">
        <w:rPr>
          <w:sz w:val="24"/>
          <w:szCs w:val="24"/>
        </w:rPr>
        <w:t xml:space="preserve"> </w:t>
      </w:r>
      <w:r w:rsidR="00247DA4" w:rsidRPr="007B689B">
        <w:rPr>
          <w:sz w:val="24"/>
          <w:szCs w:val="24"/>
        </w:rPr>
        <w:t>A final</w:t>
      </w:r>
      <w:r w:rsidR="005F4546" w:rsidRPr="007B689B">
        <w:rPr>
          <w:sz w:val="24"/>
          <w:szCs w:val="24"/>
        </w:rPr>
        <w:t xml:space="preserve"> ad-hoc</w:t>
      </w:r>
      <w:r w:rsidR="00247DA4" w:rsidRPr="007B689B">
        <w:rPr>
          <w:sz w:val="24"/>
          <w:szCs w:val="24"/>
        </w:rPr>
        <w:t xml:space="preserve"> filter is applied by excluding all days where the daily return exceeds 10% in absolute value. </w:t>
      </w:r>
      <w:r w:rsidR="00F47CC2" w:rsidRPr="007B689B">
        <w:rPr>
          <w:sz w:val="24"/>
          <w:szCs w:val="24"/>
        </w:rPr>
        <w:t>This is done in order to make sure that the sampled mid-price is representative of the actual value of the bond and is not mechanically driven by extreme illiquidity conditions in the bond market</w:t>
      </w:r>
      <w:r w:rsidR="005F4546" w:rsidRPr="007B689B">
        <w:rPr>
          <w:sz w:val="24"/>
          <w:szCs w:val="24"/>
        </w:rPr>
        <w:t xml:space="preserve"> that may be present around 5 PM CE</w:t>
      </w:r>
      <w:r w:rsidR="00BB64E9" w:rsidRPr="007B689B">
        <w:rPr>
          <w:sz w:val="24"/>
          <w:szCs w:val="24"/>
        </w:rPr>
        <w:t>T</w:t>
      </w:r>
      <w:r w:rsidR="00F47CC2" w:rsidRPr="007B689B">
        <w:rPr>
          <w:sz w:val="24"/>
          <w:szCs w:val="24"/>
        </w:rPr>
        <w:t>.</w:t>
      </w:r>
      <w:r w:rsidR="00F47CC2" w:rsidRPr="004B2AE6">
        <w:rPr>
          <w:rStyle w:val="Rimandonotaapidipagina"/>
          <w:sz w:val="24"/>
          <w:szCs w:val="24"/>
        </w:rPr>
        <w:footnoteReference w:id="7"/>
      </w:r>
      <w:r w:rsidR="00F47CC2" w:rsidRPr="007B689B">
        <w:rPr>
          <w:sz w:val="24"/>
          <w:szCs w:val="24"/>
        </w:rPr>
        <w:t xml:space="preserve"> </w:t>
      </w:r>
    </w:p>
    <w:p w:rsidR="00BB64E9" w:rsidRDefault="00BB64E9" w:rsidP="00BE50DA">
      <w:pPr>
        <w:spacing w:line="360" w:lineRule="auto"/>
        <w:ind w:firstLine="360"/>
        <w:contextualSpacing/>
        <w:jc w:val="both"/>
        <w:rPr>
          <w:sz w:val="24"/>
          <w:szCs w:val="24"/>
        </w:rPr>
      </w:pPr>
    </w:p>
    <w:p w:rsidR="00CA456E" w:rsidRPr="004B2AE6" w:rsidRDefault="0031689C" w:rsidP="00BE50DA">
      <w:pPr>
        <w:spacing w:line="360" w:lineRule="auto"/>
        <w:ind w:firstLine="360"/>
        <w:contextualSpacing/>
        <w:jc w:val="both"/>
        <w:rPr>
          <w:sz w:val="24"/>
          <w:szCs w:val="24"/>
        </w:rPr>
      </w:pPr>
      <w:r w:rsidRPr="004B2AE6">
        <w:rPr>
          <w:sz w:val="24"/>
          <w:szCs w:val="24"/>
        </w:rPr>
        <w:t xml:space="preserve">Table </w:t>
      </w:r>
      <w:r w:rsidR="00C624AA" w:rsidRPr="004B2AE6">
        <w:rPr>
          <w:sz w:val="24"/>
          <w:szCs w:val="24"/>
        </w:rPr>
        <w:t>I</w:t>
      </w:r>
      <w:r w:rsidRPr="004B2AE6">
        <w:rPr>
          <w:sz w:val="24"/>
          <w:szCs w:val="24"/>
        </w:rPr>
        <w:t>I</w:t>
      </w:r>
      <w:r w:rsidR="00C272A4" w:rsidRPr="004B2AE6">
        <w:rPr>
          <w:sz w:val="24"/>
          <w:szCs w:val="24"/>
        </w:rPr>
        <w:t xml:space="preserve"> presents the mean and standard deviation for daily </w:t>
      </w:r>
      <w:r w:rsidR="00B25351">
        <w:rPr>
          <w:sz w:val="24"/>
          <w:szCs w:val="24"/>
        </w:rPr>
        <w:t xml:space="preserve">bond and stock </w:t>
      </w:r>
      <w:r w:rsidR="00C272A4" w:rsidRPr="004B2AE6">
        <w:rPr>
          <w:sz w:val="24"/>
          <w:szCs w:val="24"/>
        </w:rPr>
        <w:t>returns by country.</w:t>
      </w:r>
      <w:r w:rsidR="00584715">
        <w:rPr>
          <w:sz w:val="24"/>
          <w:szCs w:val="24"/>
        </w:rPr>
        <w:t xml:space="preserve"> Stock returns are obtained from Datastream.</w:t>
      </w:r>
      <w:r w:rsidR="005B1B4D" w:rsidRPr="004B2AE6">
        <w:rPr>
          <w:sz w:val="24"/>
          <w:szCs w:val="24"/>
        </w:rPr>
        <w:t xml:space="preserve"> </w:t>
      </w:r>
      <w:r w:rsidR="00AA0331">
        <w:rPr>
          <w:sz w:val="24"/>
          <w:szCs w:val="24"/>
        </w:rPr>
        <w:t>C</w:t>
      </w:r>
      <w:r w:rsidR="005B1B4D" w:rsidRPr="004B2AE6">
        <w:rPr>
          <w:sz w:val="24"/>
          <w:szCs w:val="24"/>
        </w:rPr>
        <w:t xml:space="preserve">ountries </w:t>
      </w:r>
      <w:r w:rsidR="00AA0331">
        <w:rPr>
          <w:sz w:val="24"/>
          <w:szCs w:val="24"/>
        </w:rPr>
        <w:t xml:space="preserve">are listed in a way that easily enables one to form groups that broadly exhibited similar resilience (or lack thereof) during </w:t>
      </w:r>
      <w:r w:rsidR="005B1B4D" w:rsidRPr="004B2AE6">
        <w:rPr>
          <w:sz w:val="24"/>
          <w:szCs w:val="24"/>
        </w:rPr>
        <w:t>the European sovereign debt crisis</w:t>
      </w:r>
      <w:r w:rsidR="00AA0331">
        <w:rPr>
          <w:sz w:val="24"/>
          <w:szCs w:val="24"/>
        </w:rPr>
        <w:t>.</w:t>
      </w:r>
      <w:r w:rsidR="005B1B4D" w:rsidRPr="004B2AE6">
        <w:rPr>
          <w:sz w:val="24"/>
          <w:szCs w:val="24"/>
        </w:rPr>
        <w:t xml:space="preserve"> </w:t>
      </w:r>
      <w:r w:rsidR="00ED6828">
        <w:rPr>
          <w:sz w:val="24"/>
          <w:szCs w:val="24"/>
        </w:rPr>
        <w:t xml:space="preserve">These partially subjective groupings prove to share common characteristics on a consistent basis, as we will show in the rest of the analysis. </w:t>
      </w:r>
      <w:r w:rsidR="005B1B4D" w:rsidRPr="004B2AE6">
        <w:rPr>
          <w:sz w:val="24"/>
          <w:szCs w:val="24"/>
        </w:rPr>
        <w:t xml:space="preserve">Finland, Germany and </w:t>
      </w:r>
      <w:r w:rsidR="00ED6828">
        <w:rPr>
          <w:sz w:val="24"/>
          <w:szCs w:val="24"/>
        </w:rPr>
        <w:t xml:space="preserve">the </w:t>
      </w:r>
      <w:r w:rsidR="005B1B4D" w:rsidRPr="004B2AE6">
        <w:rPr>
          <w:sz w:val="24"/>
          <w:szCs w:val="24"/>
        </w:rPr>
        <w:t xml:space="preserve">Netherlands are at the top </w:t>
      </w:r>
      <w:r w:rsidR="00AA0331">
        <w:rPr>
          <w:sz w:val="24"/>
          <w:szCs w:val="24"/>
        </w:rPr>
        <w:t xml:space="preserve">of the list </w:t>
      </w:r>
      <w:r w:rsidR="00ED6828">
        <w:rPr>
          <w:sz w:val="24"/>
          <w:szCs w:val="24"/>
        </w:rPr>
        <w:t xml:space="preserve">and we label them as “low risk”. </w:t>
      </w:r>
      <w:r w:rsidR="005B1B4D" w:rsidRPr="004B2AE6">
        <w:rPr>
          <w:sz w:val="24"/>
          <w:szCs w:val="24"/>
        </w:rPr>
        <w:t>Austria, Belgium and France</w:t>
      </w:r>
      <w:r w:rsidR="00ED6828">
        <w:rPr>
          <w:sz w:val="24"/>
          <w:szCs w:val="24"/>
        </w:rPr>
        <w:t>, are “medium risk” sovereign</w:t>
      </w:r>
      <w:r w:rsidR="00C75B07">
        <w:rPr>
          <w:sz w:val="24"/>
          <w:szCs w:val="24"/>
        </w:rPr>
        <w:t>s</w:t>
      </w:r>
      <w:r w:rsidR="00ED6828">
        <w:rPr>
          <w:sz w:val="24"/>
          <w:szCs w:val="24"/>
        </w:rPr>
        <w:t xml:space="preserve">. </w:t>
      </w:r>
      <w:r w:rsidR="00152591" w:rsidRPr="004B2AE6">
        <w:rPr>
          <w:sz w:val="24"/>
          <w:szCs w:val="24"/>
        </w:rPr>
        <w:t>Greece</w:t>
      </w:r>
      <w:r w:rsidR="00152591">
        <w:rPr>
          <w:sz w:val="24"/>
          <w:szCs w:val="24"/>
        </w:rPr>
        <w:t>,</w:t>
      </w:r>
      <w:r w:rsidR="00152591" w:rsidRPr="004B2AE6">
        <w:rPr>
          <w:sz w:val="24"/>
          <w:szCs w:val="24"/>
        </w:rPr>
        <w:t xml:space="preserve"> </w:t>
      </w:r>
      <w:r w:rsidR="005B1B4D" w:rsidRPr="004B2AE6">
        <w:rPr>
          <w:sz w:val="24"/>
          <w:szCs w:val="24"/>
        </w:rPr>
        <w:t>Ireland, Italy, Portugal</w:t>
      </w:r>
      <w:r w:rsidR="00152591">
        <w:rPr>
          <w:sz w:val="24"/>
          <w:szCs w:val="24"/>
        </w:rPr>
        <w:t xml:space="preserve"> and</w:t>
      </w:r>
      <w:r w:rsidR="005B1B4D" w:rsidRPr="004B2AE6">
        <w:rPr>
          <w:sz w:val="24"/>
          <w:szCs w:val="24"/>
        </w:rPr>
        <w:t xml:space="preserve"> Spain </w:t>
      </w:r>
      <w:r w:rsidR="00ED6828">
        <w:rPr>
          <w:sz w:val="24"/>
          <w:szCs w:val="24"/>
        </w:rPr>
        <w:t xml:space="preserve">are “high risk” countries. </w:t>
      </w:r>
    </w:p>
    <w:p w:rsidR="00D606A0" w:rsidRPr="004B2AE6" w:rsidRDefault="00C272A4" w:rsidP="00BE50DA">
      <w:pPr>
        <w:spacing w:line="360" w:lineRule="auto"/>
        <w:ind w:firstLine="360"/>
        <w:contextualSpacing/>
        <w:jc w:val="both"/>
        <w:rPr>
          <w:sz w:val="24"/>
          <w:szCs w:val="24"/>
        </w:rPr>
      </w:pPr>
      <w:r w:rsidRPr="004B2AE6">
        <w:rPr>
          <w:sz w:val="24"/>
          <w:szCs w:val="24"/>
        </w:rPr>
        <w:t xml:space="preserve">We have detected four main sub-periods for our sample. The first and largest one </w:t>
      </w:r>
      <w:r w:rsidR="00980338" w:rsidRPr="004B2AE6">
        <w:rPr>
          <w:sz w:val="24"/>
          <w:szCs w:val="24"/>
        </w:rPr>
        <w:t>contains</w:t>
      </w:r>
      <w:r w:rsidRPr="004B2AE6">
        <w:rPr>
          <w:sz w:val="24"/>
          <w:szCs w:val="24"/>
        </w:rPr>
        <w:t xml:space="preserve"> the time period before August 2007 (pre-crisis period henceforth). This period is represented by economic expansion and low market volatilities in most of the developed countries. </w:t>
      </w:r>
      <w:r w:rsidR="00D606A0" w:rsidRPr="004B2AE6">
        <w:rPr>
          <w:sz w:val="24"/>
          <w:szCs w:val="24"/>
        </w:rPr>
        <w:t>As the general level in</w:t>
      </w:r>
      <w:r w:rsidR="00B3737D" w:rsidRPr="004B2AE6">
        <w:rPr>
          <w:sz w:val="24"/>
          <w:szCs w:val="24"/>
        </w:rPr>
        <w:t xml:space="preserve"> Euro-zone</w:t>
      </w:r>
      <w:r w:rsidR="00D606A0" w:rsidRPr="004B2AE6">
        <w:rPr>
          <w:sz w:val="24"/>
          <w:szCs w:val="24"/>
        </w:rPr>
        <w:t xml:space="preserve"> interest rates has increased during this period, the average value of bond returns has been negative for all 11 Euro-zone countries.</w:t>
      </w:r>
      <w:r w:rsidR="00B25351">
        <w:rPr>
          <w:sz w:val="24"/>
          <w:szCs w:val="24"/>
        </w:rPr>
        <w:t xml:space="preserve"> On the other hand, stock returns are</w:t>
      </w:r>
      <w:r w:rsidR="00D606A0" w:rsidRPr="004B2AE6">
        <w:rPr>
          <w:sz w:val="24"/>
          <w:szCs w:val="24"/>
        </w:rPr>
        <w:t xml:space="preserve"> </w:t>
      </w:r>
      <w:r w:rsidR="00B25351">
        <w:rPr>
          <w:sz w:val="24"/>
          <w:szCs w:val="24"/>
        </w:rPr>
        <w:t>generally positive.</w:t>
      </w:r>
    </w:p>
    <w:p w:rsidR="00D606A0" w:rsidRDefault="00D606A0" w:rsidP="00BE50DA">
      <w:pPr>
        <w:spacing w:line="360" w:lineRule="auto"/>
        <w:ind w:firstLine="360"/>
        <w:contextualSpacing/>
        <w:jc w:val="both"/>
        <w:rPr>
          <w:sz w:val="24"/>
          <w:szCs w:val="24"/>
        </w:rPr>
      </w:pPr>
    </w:p>
    <w:p w:rsidR="00D606A0" w:rsidRPr="004B2AE6" w:rsidRDefault="0031689C" w:rsidP="00BE50DA">
      <w:pPr>
        <w:spacing w:line="360" w:lineRule="auto"/>
        <w:ind w:firstLine="360"/>
        <w:contextualSpacing/>
        <w:jc w:val="center"/>
        <w:rPr>
          <w:sz w:val="24"/>
          <w:szCs w:val="24"/>
        </w:rPr>
      </w:pPr>
      <w:r w:rsidRPr="004B2AE6">
        <w:rPr>
          <w:sz w:val="24"/>
          <w:szCs w:val="24"/>
        </w:rPr>
        <w:t>[TABLE I</w:t>
      </w:r>
      <w:r w:rsidR="00C624AA" w:rsidRPr="004B2AE6">
        <w:rPr>
          <w:sz w:val="24"/>
          <w:szCs w:val="24"/>
        </w:rPr>
        <w:t>I</w:t>
      </w:r>
      <w:r w:rsidR="00D606A0" w:rsidRPr="004B2AE6">
        <w:rPr>
          <w:sz w:val="24"/>
          <w:szCs w:val="24"/>
        </w:rPr>
        <w:t xml:space="preserve"> around here]</w:t>
      </w:r>
    </w:p>
    <w:p w:rsidR="00D606A0" w:rsidRPr="004B2AE6" w:rsidRDefault="00D606A0" w:rsidP="00BE50DA">
      <w:pPr>
        <w:spacing w:line="360" w:lineRule="auto"/>
        <w:ind w:firstLine="360"/>
        <w:contextualSpacing/>
        <w:jc w:val="both"/>
        <w:rPr>
          <w:sz w:val="24"/>
          <w:szCs w:val="24"/>
        </w:rPr>
      </w:pPr>
    </w:p>
    <w:p w:rsidR="00AA78AE" w:rsidRPr="004B2AE6" w:rsidRDefault="00C272A4" w:rsidP="00BE50DA">
      <w:pPr>
        <w:spacing w:line="360" w:lineRule="auto"/>
        <w:ind w:firstLine="360"/>
        <w:contextualSpacing/>
        <w:jc w:val="both"/>
        <w:rPr>
          <w:sz w:val="24"/>
          <w:szCs w:val="24"/>
        </w:rPr>
      </w:pPr>
      <w:r w:rsidRPr="004B2AE6">
        <w:rPr>
          <w:sz w:val="24"/>
          <w:szCs w:val="24"/>
        </w:rPr>
        <w:t xml:space="preserve">On 9 August 2007, PNB Paribas closed down three of their hedge funds highly specialized with US mortgage debt. This </w:t>
      </w:r>
      <w:r w:rsidR="00C75B07">
        <w:rPr>
          <w:sz w:val="24"/>
          <w:szCs w:val="24"/>
        </w:rPr>
        <w:t xml:space="preserve">is one of the early </w:t>
      </w:r>
      <w:r w:rsidRPr="004B2AE6">
        <w:rPr>
          <w:sz w:val="24"/>
          <w:szCs w:val="24"/>
        </w:rPr>
        <w:t>event</w:t>
      </w:r>
      <w:r w:rsidR="00C75B07">
        <w:rPr>
          <w:sz w:val="24"/>
          <w:szCs w:val="24"/>
        </w:rPr>
        <w:t>s</w:t>
      </w:r>
      <w:r w:rsidRPr="004B2AE6">
        <w:rPr>
          <w:sz w:val="24"/>
          <w:szCs w:val="24"/>
        </w:rPr>
        <w:t xml:space="preserve"> that signal a major problem in financial markets. </w:t>
      </w:r>
      <w:r w:rsidR="00A61809" w:rsidRPr="004B2AE6">
        <w:rPr>
          <w:sz w:val="24"/>
          <w:szCs w:val="24"/>
        </w:rPr>
        <w:t>Sovereign bond return averages</w:t>
      </w:r>
      <w:r w:rsidR="00B3737D" w:rsidRPr="004B2AE6">
        <w:rPr>
          <w:sz w:val="24"/>
          <w:szCs w:val="24"/>
        </w:rPr>
        <w:t xml:space="preserve"> </w:t>
      </w:r>
      <w:r w:rsidR="00C75B07">
        <w:rPr>
          <w:sz w:val="24"/>
          <w:szCs w:val="24"/>
        </w:rPr>
        <w:t xml:space="preserve">become </w:t>
      </w:r>
      <w:r w:rsidR="00B3737D" w:rsidRPr="004B2AE6">
        <w:rPr>
          <w:sz w:val="24"/>
          <w:szCs w:val="24"/>
        </w:rPr>
        <w:t>positive</w:t>
      </w:r>
      <w:r w:rsidR="00ED6828">
        <w:rPr>
          <w:sz w:val="24"/>
          <w:szCs w:val="24"/>
        </w:rPr>
        <w:t xml:space="preserve">, with the </w:t>
      </w:r>
      <w:r w:rsidR="00ED6828">
        <w:rPr>
          <w:sz w:val="24"/>
          <w:szCs w:val="24"/>
        </w:rPr>
        <w:lastRenderedPageBreak/>
        <w:t>exception of Greece,</w:t>
      </w:r>
      <w:r w:rsidR="00B3737D" w:rsidRPr="004B2AE6">
        <w:rPr>
          <w:sz w:val="24"/>
          <w:szCs w:val="24"/>
        </w:rPr>
        <w:t xml:space="preserve"> </w:t>
      </w:r>
      <w:r w:rsidR="00D37D2D" w:rsidRPr="004B2AE6">
        <w:rPr>
          <w:sz w:val="24"/>
          <w:szCs w:val="24"/>
        </w:rPr>
        <w:t>and</w:t>
      </w:r>
      <w:r w:rsidR="00B3737D" w:rsidRPr="004B2AE6">
        <w:rPr>
          <w:sz w:val="24"/>
          <w:szCs w:val="24"/>
        </w:rPr>
        <w:t xml:space="preserve"> </w:t>
      </w:r>
      <w:r w:rsidR="00C75B07">
        <w:rPr>
          <w:sz w:val="24"/>
          <w:szCs w:val="24"/>
        </w:rPr>
        <w:t xml:space="preserve">may be </w:t>
      </w:r>
      <w:r w:rsidR="00B3737D" w:rsidRPr="004B2AE6">
        <w:rPr>
          <w:sz w:val="24"/>
          <w:szCs w:val="24"/>
        </w:rPr>
        <w:t xml:space="preserve">indicative of </w:t>
      </w:r>
      <w:r w:rsidR="00ED6828">
        <w:rPr>
          <w:sz w:val="24"/>
          <w:szCs w:val="24"/>
        </w:rPr>
        <w:t xml:space="preserve">a </w:t>
      </w:r>
      <w:r w:rsidR="00B3737D" w:rsidRPr="004B2AE6">
        <w:rPr>
          <w:sz w:val="24"/>
          <w:szCs w:val="24"/>
        </w:rPr>
        <w:t>“flight-to-quality” phenomenon</w:t>
      </w:r>
      <w:r w:rsidR="00B25351">
        <w:rPr>
          <w:sz w:val="24"/>
          <w:szCs w:val="24"/>
        </w:rPr>
        <w:t xml:space="preserve"> as stock returns turn negative </w:t>
      </w:r>
      <w:r w:rsidR="00E21F3E">
        <w:rPr>
          <w:sz w:val="24"/>
          <w:szCs w:val="24"/>
        </w:rPr>
        <w:t xml:space="preserve">across Europe. </w:t>
      </w:r>
      <w:r w:rsidR="00ED6828">
        <w:rPr>
          <w:sz w:val="24"/>
          <w:szCs w:val="24"/>
        </w:rPr>
        <w:t xml:space="preserve">We choose </w:t>
      </w:r>
      <w:r w:rsidR="000E306D" w:rsidRPr="004B2AE6">
        <w:rPr>
          <w:sz w:val="24"/>
          <w:szCs w:val="24"/>
        </w:rPr>
        <w:t>Jan</w:t>
      </w:r>
      <w:r w:rsidR="00130737" w:rsidRPr="004B2AE6">
        <w:rPr>
          <w:sz w:val="24"/>
          <w:szCs w:val="24"/>
        </w:rPr>
        <w:t>uary</w:t>
      </w:r>
      <w:r w:rsidR="000E306D" w:rsidRPr="004B2AE6">
        <w:rPr>
          <w:sz w:val="24"/>
          <w:szCs w:val="24"/>
        </w:rPr>
        <w:t xml:space="preserve"> 2010 </w:t>
      </w:r>
      <w:r w:rsidR="00ED6828">
        <w:rPr>
          <w:sz w:val="24"/>
          <w:szCs w:val="24"/>
        </w:rPr>
        <w:t xml:space="preserve">as the start of the </w:t>
      </w:r>
      <w:r w:rsidRPr="004B2AE6">
        <w:rPr>
          <w:sz w:val="24"/>
          <w:szCs w:val="24"/>
        </w:rPr>
        <w:t>debt crisis</w:t>
      </w:r>
      <w:r w:rsidR="000E306D" w:rsidRPr="004B2AE6">
        <w:rPr>
          <w:sz w:val="24"/>
          <w:szCs w:val="24"/>
        </w:rPr>
        <w:t xml:space="preserve"> in Europe</w:t>
      </w:r>
      <w:r w:rsidR="00C75B07">
        <w:rPr>
          <w:sz w:val="24"/>
          <w:szCs w:val="24"/>
        </w:rPr>
        <w:t xml:space="preserve"> as i</w:t>
      </w:r>
      <w:r w:rsidR="00C75B07" w:rsidRPr="004B2AE6">
        <w:rPr>
          <w:sz w:val="24"/>
          <w:szCs w:val="24"/>
        </w:rPr>
        <w:t xml:space="preserve">n </w:t>
      </w:r>
      <w:r w:rsidR="00C75B07">
        <w:rPr>
          <w:sz w:val="24"/>
          <w:szCs w:val="24"/>
        </w:rPr>
        <w:t xml:space="preserve">the </w:t>
      </w:r>
      <w:r w:rsidR="002F5912">
        <w:rPr>
          <w:sz w:val="24"/>
          <w:szCs w:val="24"/>
        </w:rPr>
        <w:t>previous</w:t>
      </w:r>
      <w:r w:rsidR="00C75B07">
        <w:rPr>
          <w:sz w:val="24"/>
          <w:szCs w:val="24"/>
        </w:rPr>
        <w:t xml:space="preserve"> weeks</w:t>
      </w:r>
      <w:r w:rsidR="00C75B07" w:rsidRPr="004B2AE6">
        <w:rPr>
          <w:sz w:val="24"/>
          <w:szCs w:val="24"/>
        </w:rPr>
        <w:t xml:space="preserve"> investors learn</w:t>
      </w:r>
      <w:r w:rsidR="00B25351">
        <w:rPr>
          <w:sz w:val="24"/>
          <w:szCs w:val="24"/>
        </w:rPr>
        <w:t>t</w:t>
      </w:r>
      <w:r w:rsidR="00C75B07" w:rsidRPr="004B2AE6">
        <w:rPr>
          <w:sz w:val="24"/>
          <w:szCs w:val="24"/>
        </w:rPr>
        <w:t xml:space="preserve"> that Greece might have difficulties </w:t>
      </w:r>
      <w:r w:rsidR="00C75B07">
        <w:rPr>
          <w:sz w:val="24"/>
          <w:szCs w:val="24"/>
        </w:rPr>
        <w:t xml:space="preserve">to repay its </w:t>
      </w:r>
      <w:r w:rsidR="00C75B07" w:rsidRPr="004B2AE6">
        <w:rPr>
          <w:sz w:val="24"/>
          <w:szCs w:val="24"/>
        </w:rPr>
        <w:t>debt</w:t>
      </w:r>
      <w:r w:rsidRPr="004B2AE6">
        <w:rPr>
          <w:sz w:val="24"/>
          <w:szCs w:val="24"/>
        </w:rPr>
        <w:t xml:space="preserve">. </w:t>
      </w:r>
      <w:r w:rsidR="00C75B07">
        <w:rPr>
          <w:sz w:val="24"/>
          <w:szCs w:val="24"/>
        </w:rPr>
        <w:t>However, w</w:t>
      </w:r>
      <w:r w:rsidR="000E306D" w:rsidRPr="004B2AE6">
        <w:rPr>
          <w:sz w:val="24"/>
          <w:szCs w:val="24"/>
        </w:rPr>
        <w:t>e</w:t>
      </w:r>
      <w:r w:rsidR="00987FCC" w:rsidRPr="004B2AE6">
        <w:rPr>
          <w:sz w:val="24"/>
          <w:szCs w:val="24"/>
        </w:rPr>
        <w:t xml:space="preserve"> </w:t>
      </w:r>
      <w:r w:rsidR="000E306D" w:rsidRPr="004B2AE6">
        <w:rPr>
          <w:sz w:val="24"/>
          <w:szCs w:val="24"/>
        </w:rPr>
        <w:t>split this period in two</w:t>
      </w:r>
      <w:r w:rsidR="00301E61" w:rsidRPr="004B2AE6">
        <w:rPr>
          <w:sz w:val="24"/>
          <w:szCs w:val="24"/>
        </w:rPr>
        <w:t xml:space="preserve"> parts</w:t>
      </w:r>
      <w:r w:rsidR="000E306D" w:rsidRPr="004B2AE6">
        <w:rPr>
          <w:sz w:val="24"/>
          <w:szCs w:val="24"/>
        </w:rPr>
        <w:t>, each sub-period with a length of two years</w:t>
      </w:r>
      <w:r w:rsidR="00987FCC" w:rsidRPr="004B2AE6">
        <w:rPr>
          <w:sz w:val="24"/>
          <w:szCs w:val="24"/>
        </w:rPr>
        <w:t xml:space="preserve"> </w:t>
      </w:r>
      <w:r w:rsidR="000E306D" w:rsidRPr="004B2AE6">
        <w:rPr>
          <w:sz w:val="24"/>
          <w:szCs w:val="24"/>
        </w:rPr>
        <w:t>(from Jan</w:t>
      </w:r>
      <w:r w:rsidR="00130737" w:rsidRPr="004B2AE6">
        <w:rPr>
          <w:sz w:val="24"/>
          <w:szCs w:val="24"/>
        </w:rPr>
        <w:t>uary</w:t>
      </w:r>
      <w:r w:rsidR="000E306D" w:rsidRPr="004B2AE6">
        <w:rPr>
          <w:sz w:val="24"/>
          <w:szCs w:val="24"/>
        </w:rPr>
        <w:t xml:space="preserve"> 2010 to Dec</w:t>
      </w:r>
      <w:r w:rsidR="00130737" w:rsidRPr="004B2AE6">
        <w:rPr>
          <w:sz w:val="24"/>
          <w:szCs w:val="24"/>
        </w:rPr>
        <w:t>ember</w:t>
      </w:r>
      <w:r w:rsidR="00571360" w:rsidRPr="004B2AE6">
        <w:rPr>
          <w:sz w:val="24"/>
          <w:szCs w:val="24"/>
        </w:rPr>
        <w:t xml:space="preserve"> 2011 and f</w:t>
      </w:r>
      <w:r w:rsidR="000E306D" w:rsidRPr="004B2AE6">
        <w:rPr>
          <w:sz w:val="24"/>
          <w:szCs w:val="24"/>
        </w:rPr>
        <w:t>r</w:t>
      </w:r>
      <w:r w:rsidR="00571360" w:rsidRPr="004B2AE6">
        <w:rPr>
          <w:sz w:val="24"/>
          <w:szCs w:val="24"/>
        </w:rPr>
        <w:t>o</w:t>
      </w:r>
      <w:r w:rsidR="000E306D" w:rsidRPr="004B2AE6">
        <w:rPr>
          <w:sz w:val="24"/>
          <w:szCs w:val="24"/>
        </w:rPr>
        <w:t>m Jan</w:t>
      </w:r>
      <w:r w:rsidR="00130737" w:rsidRPr="004B2AE6">
        <w:rPr>
          <w:sz w:val="24"/>
          <w:szCs w:val="24"/>
        </w:rPr>
        <w:t>uary</w:t>
      </w:r>
      <w:r w:rsidR="000E306D" w:rsidRPr="004B2AE6">
        <w:rPr>
          <w:sz w:val="24"/>
          <w:szCs w:val="24"/>
        </w:rPr>
        <w:t xml:space="preserve"> 2012 to Dec</w:t>
      </w:r>
      <w:r w:rsidR="00130737" w:rsidRPr="004B2AE6">
        <w:rPr>
          <w:sz w:val="24"/>
          <w:szCs w:val="24"/>
        </w:rPr>
        <w:t>ember</w:t>
      </w:r>
      <w:r w:rsidR="000E306D" w:rsidRPr="004B2AE6">
        <w:rPr>
          <w:sz w:val="24"/>
          <w:szCs w:val="24"/>
        </w:rPr>
        <w:t xml:space="preserve"> 2013)</w:t>
      </w:r>
      <w:r w:rsidR="003C07E1" w:rsidRPr="004B2AE6">
        <w:rPr>
          <w:sz w:val="24"/>
          <w:szCs w:val="24"/>
        </w:rPr>
        <w:t xml:space="preserve">, </w:t>
      </w:r>
      <w:r w:rsidR="00C815C5">
        <w:rPr>
          <w:sz w:val="24"/>
          <w:szCs w:val="24"/>
        </w:rPr>
        <w:t xml:space="preserve">where we observe rather distinct bond </w:t>
      </w:r>
      <w:r w:rsidR="00E21F3E">
        <w:rPr>
          <w:sz w:val="24"/>
          <w:szCs w:val="24"/>
        </w:rPr>
        <w:t xml:space="preserve">and stock </w:t>
      </w:r>
      <w:r w:rsidR="00C815C5">
        <w:rPr>
          <w:sz w:val="24"/>
          <w:szCs w:val="24"/>
        </w:rPr>
        <w:t>price patterns</w:t>
      </w:r>
      <w:r w:rsidR="00987FCC" w:rsidRPr="004B2AE6">
        <w:rPr>
          <w:sz w:val="24"/>
          <w:szCs w:val="24"/>
        </w:rPr>
        <w:t>.</w:t>
      </w:r>
      <w:r w:rsidR="004757B9" w:rsidRPr="004B2AE6">
        <w:rPr>
          <w:rStyle w:val="Rimandonotaapidipagina"/>
          <w:sz w:val="24"/>
          <w:szCs w:val="24"/>
        </w:rPr>
        <w:footnoteReference w:id="8"/>
      </w:r>
      <w:r w:rsidR="00987FCC" w:rsidRPr="004B2AE6">
        <w:rPr>
          <w:sz w:val="24"/>
          <w:szCs w:val="24"/>
        </w:rPr>
        <w:t xml:space="preserve"> </w:t>
      </w:r>
    </w:p>
    <w:p w:rsidR="00B25351" w:rsidRDefault="00E21F3E" w:rsidP="00BE50DA">
      <w:pPr>
        <w:spacing w:line="360" w:lineRule="auto"/>
        <w:ind w:firstLine="360"/>
        <w:contextualSpacing/>
        <w:jc w:val="both"/>
        <w:rPr>
          <w:sz w:val="24"/>
          <w:szCs w:val="24"/>
        </w:rPr>
      </w:pPr>
      <w:r>
        <w:rPr>
          <w:sz w:val="24"/>
          <w:szCs w:val="24"/>
        </w:rPr>
        <w:t>As shown in Table I, i</w:t>
      </w:r>
      <w:r w:rsidR="008B647E" w:rsidRPr="004B2AE6">
        <w:rPr>
          <w:sz w:val="24"/>
          <w:szCs w:val="24"/>
        </w:rPr>
        <w:t>n the first part of the sovereign debt crisis</w:t>
      </w:r>
      <w:r>
        <w:rPr>
          <w:sz w:val="24"/>
          <w:szCs w:val="24"/>
        </w:rPr>
        <w:t xml:space="preserve"> the bond market in the high risk countries become positively correlated with their stock markets. Investors now appear to treat government securities from those sovereigns as risky assets</w:t>
      </w:r>
      <w:r w:rsidR="00C93873">
        <w:rPr>
          <w:sz w:val="24"/>
          <w:szCs w:val="24"/>
        </w:rPr>
        <w:t>. On the contrary, correlation between stocks and bonds in low risk countries remain negative. This is partially reflected in the mean returns reported in Table II where low risk bonds (stocks) are positive (negative, with the exception of Finland that is mildly positive) and high risk bonds (stocks) are negative (positive with the exception of Ireland which however is far from the recovery from the subprime trough witnessed for example in Germany).</w:t>
      </w:r>
    </w:p>
    <w:p w:rsidR="00584715" w:rsidRDefault="00301E61" w:rsidP="00BE50DA">
      <w:pPr>
        <w:spacing w:line="360" w:lineRule="auto"/>
        <w:ind w:firstLine="360"/>
        <w:contextualSpacing/>
        <w:jc w:val="both"/>
        <w:rPr>
          <w:sz w:val="24"/>
          <w:szCs w:val="24"/>
        </w:rPr>
      </w:pPr>
      <w:r w:rsidRPr="004B2AE6">
        <w:rPr>
          <w:sz w:val="24"/>
          <w:szCs w:val="24"/>
        </w:rPr>
        <w:t>In the second part</w:t>
      </w:r>
      <w:r w:rsidR="008C083A" w:rsidRPr="004B2AE6">
        <w:rPr>
          <w:sz w:val="24"/>
          <w:szCs w:val="24"/>
        </w:rPr>
        <w:t xml:space="preserve"> of the sovereign debt crisis, a mean reverting process is observed</w:t>
      </w:r>
      <w:r w:rsidR="0049234C" w:rsidRPr="004B2AE6">
        <w:rPr>
          <w:sz w:val="24"/>
          <w:szCs w:val="24"/>
        </w:rPr>
        <w:t>. Although stating that the Euro-zone sovereign bond market is in a recovery phase may be premature at this point,</w:t>
      </w:r>
      <w:r w:rsidR="006C65DD">
        <w:rPr>
          <w:sz w:val="24"/>
          <w:szCs w:val="24"/>
        </w:rPr>
        <w:t xml:space="preserve"> bond returns in low risk countries go back to pre-crisis (negative) levels. On the other hand all stock markets and bond markets in high risk economies become positive which probably indicate that higher investors’</w:t>
      </w:r>
      <w:r w:rsidR="008C083A" w:rsidRPr="004B2AE6">
        <w:rPr>
          <w:sz w:val="24"/>
          <w:szCs w:val="24"/>
        </w:rPr>
        <w:t xml:space="preserve"> </w:t>
      </w:r>
      <w:r w:rsidR="006C65DD">
        <w:rPr>
          <w:sz w:val="24"/>
          <w:szCs w:val="24"/>
        </w:rPr>
        <w:t xml:space="preserve">confidence encourages them to move away from low yielding safe </w:t>
      </w:r>
      <w:r w:rsidR="00584715">
        <w:rPr>
          <w:sz w:val="24"/>
          <w:szCs w:val="24"/>
        </w:rPr>
        <w:t xml:space="preserve">assets and move toward more risky ones. </w:t>
      </w:r>
      <w:r w:rsidR="007C7B38" w:rsidRPr="004B2AE6">
        <w:rPr>
          <w:sz w:val="24"/>
          <w:szCs w:val="24"/>
        </w:rPr>
        <w:t>Notably</w:t>
      </w:r>
      <w:r w:rsidR="00253F37" w:rsidRPr="004B2AE6">
        <w:rPr>
          <w:sz w:val="24"/>
          <w:szCs w:val="24"/>
        </w:rPr>
        <w:t>, Portugal displays the highest bond return volatilities throughout both par</w:t>
      </w:r>
      <w:r w:rsidR="003B195B" w:rsidRPr="004B2AE6">
        <w:rPr>
          <w:sz w:val="24"/>
          <w:szCs w:val="24"/>
        </w:rPr>
        <w:t xml:space="preserve">ts of the sovereign debt crisis. </w:t>
      </w:r>
    </w:p>
    <w:p w:rsidR="002312F7" w:rsidRPr="004B2AE6" w:rsidRDefault="00584715" w:rsidP="00BE50DA">
      <w:pPr>
        <w:spacing w:line="360" w:lineRule="auto"/>
        <w:ind w:firstLine="360"/>
        <w:contextualSpacing/>
        <w:jc w:val="both"/>
        <w:rPr>
          <w:sz w:val="24"/>
          <w:szCs w:val="24"/>
        </w:rPr>
      </w:pPr>
      <w:r>
        <w:rPr>
          <w:sz w:val="24"/>
          <w:szCs w:val="24"/>
        </w:rPr>
        <w:t xml:space="preserve">In our analysis we also look at </w:t>
      </w:r>
      <w:r w:rsidR="00A93A41" w:rsidRPr="004B2AE6">
        <w:rPr>
          <w:sz w:val="24"/>
          <w:szCs w:val="24"/>
        </w:rPr>
        <w:t>two main sources o</w:t>
      </w:r>
      <w:r>
        <w:rPr>
          <w:sz w:val="24"/>
          <w:szCs w:val="24"/>
        </w:rPr>
        <w:t>f</w:t>
      </w:r>
      <w:r w:rsidR="00A93A41" w:rsidRPr="004B2AE6">
        <w:rPr>
          <w:sz w:val="24"/>
          <w:szCs w:val="24"/>
        </w:rPr>
        <w:t xml:space="preserve"> risk, credit and liquidity, and their relationship with government bond returns</w:t>
      </w:r>
      <w:r w:rsidR="007D56AD" w:rsidRPr="004B2AE6">
        <w:rPr>
          <w:sz w:val="24"/>
          <w:szCs w:val="24"/>
        </w:rPr>
        <w:t xml:space="preserve">. </w:t>
      </w:r>
      <w:r w:rsidR="00B62FE2" w:rsidRPr="004B2AE6">
        <w:rPr>
          <w:sz w:val="24"/>
          <w:szCs w:val="24"/>
        </w:rPr>
        <w:t xml:space="preserve">We use changes in bond specific </w:t>
      </w:r>
      <w:r w:rsidR="00415107" w:rsidRPr="004B2AE6">
        <w:rPr>
          <w:sz w:val="24"/>
          <w:szCs w:val="24"/>
        </w:rPr>
        <w:t>proportional bid-ask spreads (</w:t>
      </w:r>
      <w:r w:rsidR="00B62FE2" w:rsidRPr="004B2AE6">
        <w:rPr>
          <w:sz w:val="24"/>
          <w:szCs w:val="24"/>
        </w:rPr>
        <w:t>pSPR</w:t>
      </w:r>
      <w:r w:rsidR="00415107" w:rsidRPr="004B2AE6">
        <w:rPr>
          <w:sz w:val="24"/>
          <w:szCs w:val="24"/>
        </w:rPr>
        <w:t>)</w:t>
      </w:r>
      <w:r w:rsidR="00B62FE2" w:rsidRPr="004B2AE6">
        <w:rPr>
          <w:sz w:val="24"/>
          <w:szCs w:val="24"/>
        </w:rPr>
        <w:t xml:space="preserve"> to proxy liquidity risk.</w:t>
      </w:r>
      <w:r w:rsidR="00415107" w:rsidRPr="004B2AE6">
        <w:rPr>
          <w:sz w:val="24"/>
          <w:szCs w:val="24"/>
        </w:rPr>
        <w:t xml:space="preserve"> </w:t>
      </w:r>
      <w:r w:rsidR="00B62FE2" w:rsidRPr="004B2AE6">
        <w:rPr>
          <w:sz w:val="24"/>
          <w:szCs w:val="24"/>
        </w:rPr>
        <w:t>Daily pSPR</w:t>
      </w:r>
      <w:r w:rsidR="002312F7" w:rsidRPr="004B2AE6">
        <w:rPr>
          <w:sz w:val="24"/>
          <w:szCs w:val="24"/>
        </w:rPr>
        <w:t xml:space="preserve"> variables are estimated as averages of all intraday observations weighted by the time each quote is available in the </w:t>
      </w:r>
      <w:r w:rsidR="007E761B" w:rsidRPr="004B2AE6">
        <w:rPr>
          <w:sz w:val="24"/>
          <w:szCs w:val="24"/>
        </w:rPr>
        <w:t xml:space="preserve">MTS </w:t>
      </w:r>
      <w:r w:rsidR="002312F7" w:rsidRPr="004B2AE6">
        <w:rPr>
          <w:sz w:val="24"/>
          <w:szCs w:val="24"/>
        </w:rPr>
        <w:t xml:space="preserve">aggregated order book. Darbha and Dufour (2013) implement a horserace between several liquidity proxies on the MTS database and conclude that the proportional bid-ask spread </w:t>
      </w:r>
      <w:r w:rsidR="002312F7" w:rsidRPr="004B2AE6">
        <w:rPr>
          <w:sz w:val="24"/>
          <w:szCs w:val="24"/>
        </w:rPr>
        <w:lastRenderedPageBreak/>
        <w:t xml:space="preserve">contributes most in capturing the variation of bond yields. Although our analysis examines bond returns instead of bond yields, we also expect the pSPR to provide the best representation of illiquidity throughout our sample. </w:t>
      </w:r>
    </w:p>
    <w:p w:rsidR="00584715" w:rsidRDefault="008853FD" w:rsidP="00BE50DA">
      <w:pPr>
        <w:spacing w:line="360" w:lineRule="auto"/>
        <w:ind w:firstLine="360"/>
        <w:contextualSpacing/>
        <w:jc w:val="both"/>
        <w:rPr>
          <w:sz w:val="24"/>
          <w:szCs w:val="24"/>
        </w:rPr>
      </w:pPr>
      <w:r>
        <w:rPr>
          <w:sz w:val="24"/>
          <w:szCs w:val="24"/>
        </w:rPr>
        <w:t xml:space="preserve">As a </w:t>
      </w:r>
      <w:r w:rsidR="00584715" w:rsidRPr="004B2AE6">
        <w:rPr>
          <w:sz w:val="24"/>
          <w:szCs w:val="24"/>
        </w:rPr>
        <w:t>credit risk</w:t>
      </w:r>
      <w:r>
        <w:rPr>
          <w:sz w:val="24"/>
          <w:szCs w:val="24"/>
        </w:rPr>
        <w:t xml:space="preserve"> proxy we use the </w:t>
      </w:r>
      <w:r w:rsidR="00584715" w:rsidRPr="004B2AE6">
        <w:rPr>
          <w:sz w:val="24"/>
          <w:szCs w:val="24"/>
        </w:rPr>
        <w:t>changes in country specific 5-year CDS price</w:t>
      </w:r>
      <w:r>
        <w:rPr>
          <w:sz w:val="24"/>
          <w:szCs w:val="24"/>
        </w:rPr>
        <w:t>s</w:t>
      </w:r>
      <w:r w:rsidR="00584715" w:rsidRPr="004B2AE6">
        <w:rPr>
          <w:sz w:val="24"/>
          <w:szCs w:val="24"/>
        </w:rPr>
        <w:t xml:space="preserve">. </w:t>
      </w:r>
      <w:r w:rsidR="00E12184">
        <w:rPr>
          <w:sz w:val="24"/>
          <w:szCs w:val="24"/>
        </w:rPr>
        <w:t xml:space="preserve">Unlike </w:t>
      </w:r>
      <w:r w:rsidR="00584715" w:rsidRPr="004B2AE6">
        <w:rPr>
          <w:sz w:val="24"/>
          <w:szCs w:val="24"/>
        </w:rPr>
        <w:t xml:space="preserve">credit ratings, which </w:t>
      </w:r>
      <w:r w:rsidR="00E12184">
        <w:rPr>
          <w:sz w:val="24"/>
          <w:szCs w:val="24"/>
        </w:rPr>
        <w:t xml:space="preserve">may be </w:t>
      </w:r>
      <w:r w:rsidR="00584715" w:rsidRPr="004B2AE6">
        <w:rPr>
          <w:sz w:val="24"/>
          <w:szCs w:val="24"/>
        </w:rPr>
        <w:t>“sticky”, CDS contracts are traded daily and represent the creditworthiness o</w:t>
      </w:r>
      <w:r w:rsidR="00E12184">
        <w:rPr>
          <w:sz w:val="24"/>
          <w:szCs w:val="24"/>
        </w:rPr>
        <w:t>f</w:t>
      </w:r>
      <w:r w:rsidR="00584715" w:rsidRPr="004B2AE6">
        <w:rPr>
          <w:sz w:val="24"/>
          <w:szCs w:val="24"/>
        </w:rPr>
        <w:t xml:space="preserve"> an entity as viewed by the market. </w:t>
      </w:r>
      <w:r w:rsidR="00584715">
        <w:rPr>
          <w:sz w:val="24"/>
          <w:szCs w:val="24"/>
        </w:rPr>
        <w:t xml:space="preserve">One </w:t>
      </w:r>
      <w:r w:rsidR="00584715" w:rsidRPr="004B2AE6">
        <w:rPr>
          <w:sz w:val="24"/>
          <w:szCs w:val="24"/>
        </w:rPr>
        <w:t xml:space="preserve">problem when using CDS spreads is that these instruments </w:t>
      </w:r>
      <w:r w:rsidR="00584715">
        <w:rPr>
          <w:sz w:val="24"/>
          <w:szCs w:val="24"/>
        </w:rPr>
        <w:t xml:space="preserve">may not be an accurate </w:t>
      </w:r>
      <w:r w:rsidR="00584715" w:rsidRPr="004B2AE6">
        <w:rPr>
          <w:sz w:val="24"/>
          <w:szCs w:val="24"/>
        </w:rPr>
        <w:t>measure of default risk. Blanco et al. (2005) offers evidence that CDS spreads are considerably larger than credit bond spreads for US and European investment grade bonds. In more rece</w:t>
      </w:r>
      <w:r w:rsidR="007915C9">
        <w:rPr>
          <w:sz w:val="24"/>
          <w:szCs w:val="24"/>
        </w:rPr>
        <w:t>nt work, Bongaerts et al. (2011</w:t>
      </w:r>
      <w:r w:rsidR="00584715" w:rsidRPr="004B2AE6">
        <w:rPr>
          <w:sz w:val="24"/>
          <w:szCs w:val="24"/>
        </w:rPr>
        <w:t xml:space="preserve">) find significant and robust evidence of a liquidity factor in corporate CDSs. Tang and Yan (2008), Chen et al. (2013), and Corò et al. (2013) reach similar conclusions for the corporate CDS market. Although we are aware of this issue, we assume that the liquidity bias is smallest for 5 year CDS contracts, </w:t>
      </w:r>
      <w:r w:rsidR="006800F1">
        <w:rPr>
          <w:sz w:val="24"/>
          <w:szCs w:val="24"/>
        </w:rPr>
        <w:t xml:space="preserve">as </w:t>
      </w:r>
      <w:r w:rsidR="00584715" w:rsidRPr="004B2AE6">
        <w:rPr>
          <w:sz w:val="24"/>
          <w:szCs w:val="24"/>
        </w:rPr>
        <w:t xml:space="preserve">it is the most traded maturity. Therefore, we do not expect this to have an impact on the fundamental aspects of our results. </w:t>
      </w:r>
      <w:r w:rsidR="006800F1" w:rsidRPr="004B2AE6">
        <w:rPr>
          <w:sz w:val="24"/>
          <w:szCs w:val="24"/>
        </w:rPr>
        <w:t xml:space="preserve">Sovereign CDS prices </w:t>
      </w:r>
      <w:r w:rsidR="006800F1">
        <w:rPr>
          <w:sz w:val="24"/>
          <w:szCs w:val="24"/>
        </w:rPr>
        <w:t xml:space="preserve">are </w:t>
      </w:r>
      <w:r w:rsidR="006800F1" w:rsidRPr="004B2AE6">
        <w:rPr>
          <w:sz w:val="24"/>
          <w:szCs w:val="24"/>
        </w:rPr>
        <w:t>sourced from Credit Market Analysis (CMA) which operates in New York, London and Tokyo. CMA offers daily term structures of CDS prices for 11 maturities, 6 months and 1 to 10 years, denominated in USD and date back to as early as October 2004 depending on the country. We estimate the 5 year CDS spreads as the average between the New York and London close prices. We realise this procedure might induce a lead effect in the CDS price but consider this effect to be minimal. Similar to Beber et al. (2009), a complete dataset of CDS prices are obtained using linear interpolation.</w:t>
      </w:r>
      <w:r w:rsidR="006722DE">
        <w:rPr>
          <w:rStyle w:val="Rimandonotaapidipagina"/>
          <w:sz w:val="24"/>
          <w:szCs w:val="24"/>
        </w:rPr>
        <w:footnoteReference w:id="9"/>
      </w:r>
      <w:r w:rsidR="00584715" w:rsidRPr="004B2AE6">
        <w:rPr>
          <w:sz w:val="24"/>
          <w:szCs w:val="24"/>
        </w:rPr>
        <w:t xml:space="preserve"> </w:t>
      </w:r>
    </w:p>
    <w:p w:rsidR="008853FD" w:rsidRDefault="00B62FE2" w:rsidP="00BE50DA">
      <w:pPr>
        <w:spacing w:line="360" w:lineRule="auto"/>
        <w:ind w:firstLine="360"/>
        <w:contextualSpacing/>
        <w:jc w:val="both"/>
        <w:rPr>
          <w:sz w:val="24"/>
          <w:szCs w:val="24"/>
        </w:rPr>
      </w:pPr>
      <w:r w:rsidRPr="004B2AE6">
        <w:rPr>
          <w:sz w:val="24"/>
          <w:szCs w:val="24"/>
        </w:rPr>
        <w:t xml:space="preserve"> </w:t>
      </w:r>
      <w:r w:rsidR="002864F8" w:rsidRPr="004B2AE6">
        <w:rPr>
          <w:sz w:val="24"/>
          <w:szCs w:val="24"/>
        </w:rPr>
        <w:t>To get a better understanding of how our liquidity and credit variabl</w:t>
      </w:r>
      <w:r w:rsidR="00DB0C0F" w:rsidRPr="004B2AE6">
        <w:rPr>
          <w:sz w:val="24"/>
          <w:szCs w:val="24"/>
        </w:rPr>
        <w:t>es behave through time, Figure 1</w:t>
      </w:r>
      <w:r w:rsidR="002864F8" w:rsidRPr="004B2AE6">
        <w:rPr>
          <w:sz w:val="24"/>
          <w:szCs w:val="24"/>
        </w:rPr>
        <w:t xml:space="preserve"> plots the</w:t>
      </w:r>
      <w:r w:rsidR="002312F7" w:rsidRPr="004B2AE6">
        <w:rPr>
          <w:sz w:val="24"/>
          <w:szCs w:val="24"/>
        </w:rPr>
        <w:t xml:space="preserve"> daily 5-year CDS spreads and proportional bid-ask spreads for the 11 countries considered. Essential global events are accompanied closely by </w:t>
      </w:r>
      <w:r w:rsidR="002864F8" w:rsidRPr="004B2AE6">
        <w:rPr>
          <w:sz w:val="24"/>
          <w:szCs w:val="24"/>
        </w:rPr>
        <w:t>spikes</w:t>
      </w:r>
      <w:r w:rsidR="002312F7" w:rsidRPr="004B2AE6">
        <w:rPr>
          <w:sz w:val="24"/>
          <w:szCs w:val="24"/>
        </w:rPr>
        <w:t xml:space="preserve"> in our daily aggregate of credit and liquidity measures</w:t>
      </w:r>
      <w:r w:rsidR="002864F8" w:rsidRPr="004B2AE6">
        <w:rPr>
          <w:sz w:val="24"/>
          <w:szCs w:val="24"/>
        </w:rPr>
        <w:t xml:space="preserve"> in each country</w:t>
      </w:r>
      <w:r w:rsidR="002312F7" w:rsidRPr="004B2AE6">
        <w:rPr>
          <w:sz w:val="24"/>
          <w:szCs w:val="24"/>
        </w:rPr>
        <w:t>.</w:t>
      </w:r>
      <w:r w:rsidR="002864F8" w:rsidRPr="004B2AE6">
        <w:rPr>
          <w:sz w:val="24"/>
          <w:szCs w:val="24"/>
        </w:rPr>
        <w:t xml:space="preserve"> </w:t>
      </w:r>
    </w:p>
    <w:p w:rsidR="002312F7" w:rsidRPr="004B2AE6" w:rsidRDefault="002312F7" w:rsidP="00BE50DA">
      <w:pPr>
        <w:spacing w:line="360" w:lineRule="auto"/>
        <w:ind w:firstLine="360"/>
        <w:contextualSpacing/>
        <w:jc w:val="both"/>
        <w:rPr>
          <w:sz w:val="24"/>
          <w:szCs w:val="24"/>
        </w:rPr>
      </w:pPr>
    </w:p>
    <w:p w:rsidR="00822478" w:rsidRDefault="00C624AA" w:rsidP="00BE50DA">
      <w:pPr>
        <w:spacing w:line="360" w:lineRule="auto"/>
        <w:ind w:firstLine="360"/>
        <w:contextualSpacing/>
        <w:jc w:val="center"/>
        <w:rPr>
          <w:sz w:val="24"/>
          <w:szCs w:val="24"/>
        </w:rPr>
      </w:pPr>
      <w:r w:rsidRPr="004B2AE6">
        <w:rPr>
          <w:sz w:val="24"/>
          <w:szCs w:val="24"/>
        </w:rPr>
        <w:t xml:space="preserve">[FIGURE </w:t>
      </w:r>
      <w:r w:rsidR="00573981" w:rsidRPr="004B2AE6">
        <w:rPr>
          <w:sz w:val="24"/>
          <w:szCs w:val="24"/>
        </w:rPr>
        <w:t>1</w:t>
      </w:r>
      <w:r w:rsidR="00BE50DA">
        <w:rPr>
          <w:sz w:val="24"/>
          <w:szCs w:val="24"/>
        </w:rPr>
        <w:t xml:space="preserve"> around here]</w:t>
      </w:r>
      <w:r w:rsidR="001C45E5" w:rsidRPr="004B2AE6">
        <w:rPr>
          <w:sz w:val="24"/>
          <w:szCs w:val="24"/>
        </w:rPr>
        <w:t xml:space="preserve">  </w:t>
      </w:r>
      <w:r w:rsidR="00D60D73" w:rsidRPr="004B2AE6">
        <w:rPr>
          <w:sz w:val="24"/>
          <w:szCs w:val="24"/>
        </w:rPr>
        <w:t xml:space="preserve">    </w:t>
      </w:r>
    </w:p>
    <w:p w:rsidR="007F6D54" w:rsidRDefault="007F6D54" w:rsidP="00BE50DA">
      <w:pPr>
        <w:spacing w:line="360" w:lineRule="auto"/>
        <w:ind w:firstLine="360"/>
        <w:contextualSpacing/>
        <w:jc w:val="center"/>
        <w:rPr>
          <w:sz w:val="24"/>
          <w:szCs w:val="24"/>
        </w:rPr>
      </w:pPr>
    </w:p>
    <w:p w:rsidR="007F6D54" w:rsidRPr="004B2AE6" w:rsidRDefault="007F6D54" w:rsidP="00BE50DA">
      <w:pPr>
        <w:spacing w:line="360" w:lineRule="auto"/>
        <w:ind w:firstLine="360"/>
        <w:contextualSpacing/>
        <w:jc w:val="center"/>
        <w:rPr>
          <w:sz w:val="24"/>
          <w:szCs w:val="24"/>
        </w:rPr>
      </w:pPr>
    </w:p>
    <w:p w:rsidR="006940F6" w:rsidRPr="004B2AE6" w:rsidRDefault="00A73C31" w:rsidP="00BE50DA">
      <w:pPr>
        <w:pStyle w:val="Paragrafoelenco"/>
        <w:numPr>
          <w:ilvl w:val="0"/>
          <w:numId w:val="1"/>
        </w:numPr>
        <w:spacing w:line="360" w:lineRule="auto"/>
        <w:rPr>
          <w:sz w:val="24"/>
          <w:szCs w:val="24"/>
        </w:rPr>
      </w:pPr>
      <w:r>
        <w:rPr>
          <w:sz w:val="24"/>
          <w:szCs w:val="24"/>
        </w:rPr>
        <w:lastRenderedPageBreak/>
        <w:t>The model</w:t>
      </w:r>
    </w:p>
    <w:p w:rsidR="00A73C31" w:rsidRDefault="00FA0995" w:rsidP="00BE50DA">
      <w:pPr>
        <w:spacing w:line="360" w:lineRule="auto"/>
        <w:ind w:firstLine="360"/>
        <w:contextualSpacing/>
        <w:jc w:val="both"/>
        <w:rPr>
          <w:sz w:val="24"/>
          <w:szCs w:val="24"/>
        </w:rPr>
      </w:pPr>
      <w:r w:rsidRPr="004B2AE6">
        <w:rPr>
          <w:sz w:val="24"/>
          <w:szCs w:val="24"/>
        </w:rPr>
        <w:t xml:space="preserve"> </w:t>
      </w:r>
      <w:r w:rsidR="00614021" w:rsidRPr="004B2AE6">
        <w:rPr>
          <w:sz w:val="24"/>
          <w:szCs w:val="24"/>
        </w:rPr>
        <w:t xml:space="preserve"> </w:t>
      </w:r>
      <w:r w:rsidR="00A73C31" w:rsidRPr="004B2AE6">
        <w:rPr>
          <w:sz w:val="24"/>
          <w:szCs w:val="24"/>
        </w:rPr>
        <w:t xml:space="preserve">To </w:t>
      </w:r>
      <w:r w:rsidR="00123F3A">
        <w:rPr>
          <w:sz w:val="24"/>
          <w:szCs w:val="24"/>
        </w:rPr>
        <w:t xml:space="preserve">study the </w:t>
      </w:r>
      <w:r w:rsidR="00E12184">
        <w:rPr>
          <w:sz w:val="24"/>
          <w:szCs w:val="24"/>
        </w:rPr>
        <w:t xml:space="preserve">determinants of bond </w:t>
      </w:r>
      <w:r w:rsidR="00067117">
        <w:rPr>
          <w:sz w:val="24"/>
          <w:szCs w:val="24"/>
        </w:rPr>
        <w:t xml:space="preserve">returns and </w:t>
      </w:r>
      <w:r w:rsidR="00E12184">
        <w:rPr>
          <w:sz w:val="24"/>
          <w:szCs w:val="24"/>
        </w:rPr>
        <w:t xml:space="preserve">their time varying behaviour </w:t>
      </w:r>
      <w:r w:rsidR="00123F3A" w:rsidRPr="004B2AE6">
        <w:rPr>
          <w:sz w:val="24"/>
          <w:szCs w:val="24"/>
        </w:rPr>
        <w:t>we estimate the following pooled regression model</w:t>
      </w:r>
      <w:r w:rsidR="00123F3A">
        <w:rPr>
          <w:sz w:val="24"/>
          <w:szCs w:val="24"/>
        </w:rPr>
        <w:t xml:space="preserve"> over </w:t>
      </w:r>
      <w:r w:rsidR="00E12184">
        <w:rPr>
          <w:sz w:val="24"/>
          <w:szCs w:val="24"/>
        </w:rPr>
        <w:t xml:space="preserve">the </w:t>
      </w:r>
      <w:r w:rsidR="00123F3A">
        <w:rPr>
          <w:sz w:val="24"/>
          <w:szCs w:val="24"/>
        </w:rPr>
        <w:t xml:space="preserve">four distinct time periods </w:t>
      </w:r>
      <w:r w:rsidR="00E12184">
        <w:rPr>
          <w:sz w:val="24"/>
          <w:szCs w:val="24"/>
        </w:rPr>
        <w:t xml:space="preserve">discussed above </w:t>
      </w:r>
      <w:r w:rsidR="00123F3A">
        <w:rPr>
          <w:sz w:val="24"/>
          <w:szCs w:val="24"/>
        </w:rPr>
        <w:t>(pre-crisis, subprime crisis and two phases of the sovereign crisis)</w:t>
      </w:r>
      <w:r w:rsidR="00012BB2">
        <w:rPr>
          <w:sz w:val="24"/>
          <w:szCs w:val="24"/>
        </w:rPr>
        <w:t>:</w:t>
      </w:r>
    </w:p>
    <w:p w:rsidR="00123F3A" w:rsidRPr="004B2AE6" w:rsidRDefault="00123F3A" w:rsidP="00BE50DA">
      <w:pPr>
        <w:spacing w:line="360" w:lineRule="auto"/>
        <w:ind w:firstLine="357"/>
        <w:contextualSpacing/>
        <w:jc w:val="both"/>
        <w:rPr>
          <w:sz w:val="24"/>
          <w:szCs w:val="24"/>
        </w:rPr>
      </w:pPr>
    </w:p>
    <w:p w:rsidR="00A73C31" w:rsidRPr="00123F3A" w:rsidRDefault="00CE06E1" w:rsidP="00BE50DA">
      <w:pPr>
        <w:spacing w:line="360" w:lineRule="auto"/>
        <w:ind w:firstLine="360"/>
        <w:contextualSpacing/>
        <w:rPr>
          <w:sz w:val="24"/>
          <w:szCs w:val="24"/>
        </w:rPr>
      </w:pPr>
      <m:oMathPara>
        <m:oMath>
          <m:sSub>
            <m:sSubPr>
              <m:ctrlPr>
                <w:rPr>
                  <w:rFonts w:ascii="Cambria Math" w:hAnsi="Cambria Math"/>
                  <w:sz w:val="24"/>
                  <w:szCs w:val="24"/>
                </w:rPr>
              </m:ctrlPr>
            </m:sSubPr>
            <m:e>
              <m:r>
                <m:rPr>
                  <m:sty m:val="p"/>
                </m:rPr>
                <w:rPr>
                  <w:rFonts w:ascii="Cambria Math" w:hAnsi="Cambria Math"/>
                  <w:sz w:val="24"/>
                  <w:szCs w:val="24"/>
                </w:rPr>
                <m:t>RB</m:t>
              </m:r>
            </m:e>
            <m:sub>
              <m:r>
                <m:rPr>
                  <m:sty m:val="p"/>
                </m:rPr>
                <w:rPr>
                  <w:rFonts w:ascii="Cambria Math" w:hAnsi="Cambria Math"/>
                  <w:sz w:val="24"/>
                  <w:szCs w:val="24"/>
                </w:rPr>
                <m:t>i,cr,t</m:t>
              </m:r>
            </m:sub>
          </m:sSub>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m:t>RECB</m:t>
              </m:r>
            </m:e>
            <m:sub>
              <m:r>
                <m:rPr>
                  <m:sty m:val="p"/>
                </m:rPr>
                <w:rPr>
                  <w:rFonts w:ascii="Cambria Math" w:hAnsi="Cambria Math"/>
                  <w:sz w:val="24"/>
                  <w:szCs w:val="24"/>
                </w:rPr>
                <m:t>t</m:t>
              </m:r>
            </m:sub>
          </m:sSub>
          <m:r>
            <m:rPr>
              <m:sty m:val="p"/>
            </m:rPr>
            <w:rPr>
              <w:rFonts w:ascii="Cambria Math" w:hAnsi="Cambria Math"/>
              <w:sz w:val="24"/>
              <w:szCs w:val="24"/>
            </w:rPr>
            <m:t>=c+</m:t>
          </m:r>
          <m:sSub>
            <m:sSubPr>
              <m:ctrlPr>
                <w:rPr>
                  <w:rFonts w:ascii="Cambria Math" w:hAnsi="Cambria Math"/>
                  <w:sz w:val="24"/>
                  <w:szCs w:val="24"/>
                </w:rPr>
              </m:ctrlPr>
            </m:sSubPr>
            <m:e>
              <m:r>
                <m:rPr>
                  <m:sty m:val="p"/>
                </m:rPr>
                <w:rPr>
                  <w:rFonts w:ascii="Cambria Math" w:hAnsi="Cambria Math" w:hint="eastAsia"/>
                  <w:sz w:val="24"/>
                  <w:szCs w:val="24"/>
                </w:rPr>
                <m:t>β</m:t>
              </m:r>
            </m:e>
            <m:sub>
              <m:r>
                <m:rPr>
                  <m:sty m:val="p"/>
                </m:rPr>
                <w:rPr>
                  <w:rFonts w:ascii="Cambria Math" w:hAnsi="Cambria Math"/>
                  <w:sz w:val="24"/>
                  <w:szCs w:val="24"/>
                </w:rPr>
                <m:t>EQT</m:t>
              </m:r>
            </m:sub>
          </m:sSub>
          <m:d>
            <m:dPr>
              <m:ctrlPr>
                <w:rPr>
                  <w:rFonts w:ascii="Cambria Math" w:hAnsi="Cambria Math"/>
                  <w:sz w:val="24"/>
                  <w:szCs w:val="24"/>
                </w:rPr>
              </m:ctrlPr>
            </m:dPr>
            <m:e>
              <m:sSub>
                <m:sSubPr>
                  <m:ctrlPr>
                    <w:rPr>
                      <w:rFonts w:ascii="Cambria Math" w:hAnsi="Cambria Math"/>
                      <w:sz w:val="24"/>
                      <w:szCs w:val="24"/>
                    </w:rPr>
                  </m:ctrlPr>
                </m:sSubPr>
                <m:e>
                  <m:r>
                    <m:rPr>
                      <m:sty m:val="p"/>
                    </m:rPr>
                    <w:rPr>
                      <w:rFonts w:ascii="Cambria Math" w:hAnsi="Cambria Math"/>
                      <w:sz w:val="24"/>
                      <w:szCs w:val="24"/>
                    </w:rPr>
                    <m:t>EQT</m:t>
                  </m:r>
                </m:e>
                <m:sub>
                  <m:r>
                    <m:rPr>
                      <m:sty m:val="p"/>
                    </m:rPr>
                    <w:rPr>
                      <w:rFonts w:ascii="Cambria Math" w:hAnsi="Cambria Math"/>
                      <w:sz w:val="24"/>
                      <w:szCs w:val="24"/>
                    </w:rPr>
                    <m:t>i,cr,t</m:t>
                  </m:r>
                </m:sub>
              </m:sSub>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m:t>RECB</m:t>
                  </m:r>
                </m:e>
                <m:sub>
                  <m:r>
                    <m:rPr>
                      <m:sty m:val="p"/>
                    </m:rPr>
                    <w:rPr>
                      <w:rFonts w:ascii="Cambria Math" w:hAnsi="Cambria Math"/>
                      <w:sz w:val="24"/>
                      <w:szCs w:val="24"/>
                    </w:rPr>
                    <m:t>t</m:t>
                  </m:r>
                </m:sub>
              </m:sSub>
            </m:e>
          </m:d>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hint="eastAsia"/>
                  <w:sz w:val="24"/>
                  <w:szCs w:val="24"/>
                </w:rPr>
                <m:t>β</m:t>
              </m:r>
            </m:e>
            <m:sub>
              <m:r>
                <m:rPr>
                  <m:sty m:val="p"/>
                </m:rPr>
                <w:rPr>
                  <w:rFonts w:ascii="Cambria Math" w:hAnsi="Cambria Math"/>
                  <w:sz w:val="24"/>
                  <w:szCs w:val="24"/>
                </w:rPr>
                <m:t>CDS</m:t>
              </m:r>
            </m:sub>
          </m:sSub>
          <m:sSub>
            <m:sSubPr>
              <m:ctrlPr>
                <w:rPr>
                  <w:rFonts w:ascii="Cambria Math" w:hAnsi="Cambria Math"/>
                  <w:sz w:val="24"/>
                  <w:szCs w:val="24"/>
                </w:rPr>
              </m:ctrlPr>
            </m:sSubPr>
            <m:e>
              <m:r>
                <m:rPr>
                  <m:sty m:val="p"/>
                </m:rPr>
                <w:rPr>
                  <w:rFonts w:ascii="Cambria Math" w:hAnsi="Cambria Math"/>
                  <w:sz w:val="24"/>
                  <w:szCs w:val="24"/>
                </w:rPr>
                <m:t>∆CDS</m:t>
              </m:r>
            </m:e>
            <m:sub>
              <m:r>
                <m:rPr>
                  <m:sty m:val="p"/>
                </m:rPr>
                <w:rPr>
                  <w:rFonts w:ascii="Cambria Math" w:hAnsi="Cambria Math"/>
                  <w:sz w:val="24"/>
                  <w:szCs w:val="24"/>
                </w:rPr>
                <m:t>cr,t</m:t>
              </m:r>
            </m:sub>
          </m:sSub>
          <m:r>
            <m:rPr>
              <m:sty m:val="p"/>
            </m:rPr>
            <w:rPr>
              <w:rFonts w:ascii="Cambria Math" w:hAnsi="Cambria Math"/>
              <w:sz w:val="24"/>
              <w:szCs w:val="24"/>
            </w:rPr>
            <m:t xml:space="preserve">+ </m:t>
          </m:r>
          <m:sSub>
            <m:sSubPr>
              <m:ctrlPr>
                <w:rPr>
                  <w:rFonts w:ascii="Cambria Math" w:hAnsi="Cambria Math"/>
                  <w:sz w:val="24"/>
                  <w:szCs w:val="24"/>
                </w:rPr>
              </m:ctrlPr>
            </m:sSubPr>
            <m:e>
              <m:r>
                <m:rPr>
                  <m:sty m:val="p"/>
                </m:rPr>
                <w:rPr>
                  <w:rFonts w:ascii="Cambria Math" w:hAnsi="Cambria Math" w:hint="eastAsia"/>
                  <w:sz w:val="24"/>
                  <w:szCs w:val="24"/>
                </w:rPr>
                <m:t>β</m:t>
              </m:r>
            </m:e>
            <m:sub>
              <m:r>
                <m:rPr>
                  <m:sty m:val="p"/>
                </m:rPr>
                <w:rPr>
                  <w:rFonts w:ascii="Cambria Math" w:hAnsi="Cambria Math"/>
                  <w:sz w:val="24"/>
                  <w:szCs w:val="24"/>
                </w:rPr>
                <m:t>SPR</m:t>
              </m:r>
            </m:sub>
          </m:sSub>
          <m:sSub>
            <m:sSubPr>
              <m:ctrlPr>
                <w:rPr>
                  <w:rFonts w:ascii="Cambria Math" w:hAnsi="Cambria Math"/>
                  <w:sz w:val="24"/>
                  <w:szCs w:val="24"/>
                </w:rPr>
              </m:ctrlPr>
            </m:sSubPr>
            <m:e>
              <m:r>
                <m:rPr>
                  <m:sty m:val="p"/>
                </m:rPr>
                <w:rPr>
                  <w:rFonts w:ascii="Cambria Math" w:hAnsi="Cambria Math"/>
                  <w:sz w:val="24"/>
                  <w:szCs w:val="24"/>
                </w:rPr>
                <m:t>∆Spr</m:t>
              </m:r>
            </m:e>
            <m:sub>
              <m:r>
                <m:rPr>
                  <m:sty m:val="p"/>
                </m:rPr>
                <w:rPr>
                  <w:rFonts w:ascii="Cambria Math" w:hAnsi="Cambria Math"/>
                  <w:sz w:val="24"/>
                  <w:szCs w:val="24"/>
                </w:rPr>
                <m:t>i,cr,t</m:t>
              </m:r>
            </m:sub>
          </m:sSub>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hint="eastAsia"/>
                  <w:sz w:val="24"/>
                  <w:szCs w:val="24"/>
                </w:rPr>
                <m:t>ε</m:t>
              </m:r>
            </m:e>
            <m:sub>
              <m:r>
                <m:rPr>
                  <m:sty m:val="p"/>
                </m:rPr>
                <w:rPr>
                  <w:rFonts w:ascii="Cambria Math" w:hAnsi="Cambria Math"/>
                  <w:sz w:val="24"/>
                  <w:szCs w:val="24"/>
                </w:rPr>
                <m:t>i,cr,t</m:t>
              </m:r>
            </m:sub>
          </m:sSub>
          <m:r>
            <m:rPr>
              <m:sty m:val="p"/>
            </m:rPr>
            <w:rPr>
              <w:rFonts w:ascii="Cambria Math" w:hAnsi="Cambria Math"/>
              <w:sz w:val="24"/>
              <w:szCs w:val="24"/>
            </w:rPr>
            <m:t xml:space="preserve"> </m:t>
          </m:r>
        </m:oMath>
      </m:oMathPara>
    </w:p>
    <w:p w:rsidR="00123F3A" w:rsidRDefault="00123F3A" w:rsidP="00BE50DA">
      <w:pPr>
        <w:spacing w:line="360" w:lineRule="auto"/>
        <w:ind w:firstLine="360"/>
        <w:contextualSpacing/>
        <w:jc w:val="both"/>
        <w:rPr>
          <w:sz w:val="24"/>
          <w:szCs w:val="24"/>
        </w:rPr>
      </w:pPr>
    </w:p>
    <w:p w:rsidR="000D410D" w:rsidRDefault="00A73C31" w:rsidP="00BE50DA">
      <w:pPr>
        <w:spacing w:line="360" w:lineRule="auto"/>
        <w:ind w:firstLine="360"/>
        <w:contextualSpacing/>
        <w:jc w:val="both"/>
        <w:rPr>
          <w:sz w:val="24"/>
          <w:szCs w:val="24"/>
        </w:rPr>
      </w:pPr>
      <w:r w:rsidRPr="00123F3A">
        <w:rPr>
          <w:sz w:val="24"/>
          <w:szCs w:val="24"/>
        </w:rPr>
        <w:t xml:space="preserve">where </w:t>
      </w:r>
      <m:oMath>
        <m:sSub>
          <m:sSubPr>
            <m:ctrlPr>
              <w:rPr>
                <w:rFonts w:ascii="Cambria Math" w:hAnsi="Cambria Math"/>
                <w:i/>
                <w:sz w:val="24"/>
                <w:szCs w:val="24"/>
              </w:rPr>
            </m:ctrlPr>
          </m:sSubPr>
          <m:e>
            <m:r>
              <w:rPr>
                <w:rFonts w:ascii="Cambria Math" w:hAnsi="Cambria Math"/>
                <w:sz w:val="24"/>
                <w:szCs w:val="24"/>
              </w:rPr>
              <m:t>RB</m:t>
            </m:r>
          </m:e>
          <m:sub>
            <m:r>
              <w:rPr>
                <w:rFonts w:ascii="Cambria Math" w:hAnsi="Cambria Math"/>
                <w:sz w:val="24"/>
                <w:szCs w:val="24"/>
              </w:rPr>
              <m:t>i,cr,t</m:t>
            </m:r>
          </m:sub>
        </m:sSub>
      </m:oMath>
      <w:r w:rsidRPr="00123F3A">
        <w:rPr>
          <w:sz w:val="24"/>
          <w:szCs w:val="24"/>
        </w:rPr>
        <w:t xml:space="preserve"> denotes the mid-price return for bond </w:t>
      </w:r>
      <m:oMath>
        <m:r>
          <w:rPr>
            <w:rFonts w:ascii="Cambria Math" w:hAnsi="Cambria Math"/>
            <w:sz w:val="24"/>
            <w:szCs w:val="24"/>
          </w:rPr>
          <m:t>i</m:t>
        </m:r>
      </m:oMath>
      <w:r w:rsidRPr="007B689B">
        <w:rPr>
          <w:rFonts w:eastAsiaTheme="minorEastAsia"/>
          <w:sz w:val="24"/>
          <w:szCs w:val="24"/>
        </w:rPr>
        <w:t xml:space="preserve"> </w:t>
      </w:r>
      <w:r w:rsidRPr="00123F3A">
        <w:rPr>
          <w:sz w:val="24"/>
          <w:szCs w:val="24"/>
        </w:rPr>
        <w:t xml:space="preserve">issued by country </w:t>
      </w:r>
      <m:oMath>
        <m:r>
          <w:rPr>
            <w:rFonts w:ascii="Cambria Math" w:hAnsi="Cambria Math"/>
            <w:sz w:val="24"/>
            <w:szCs w:val="24"/>
          </w:rPr>
          <m:t>c</m:t>
        </m:r>
      </m:oMath>
      <w:r w:rsidRPr="00123F3A">
        <w:rPr>
          <w:sz w:val="24"/>
          <w:szCs w:val="24"/>
        </w:rPr>
        <w:t xml:space="preserve"> at time </w:t>
      </w:r>
      <m:oMath>
        <m:r>
          <w:rPr>
            <w:rFonts w:ascii="Cambria Math" w:hAnsi="Cambria Math"/>
            <w:sz w:val="24"/>
            <w:szCs w:val="24"/>
          </w:rPr>
          <m:t>t</m:t>
        </m:r>
      </m:oMath>
      <w:r w:rsidRPr="00123F3A">
        <w:rPr>
          <w:sz w:val="24"/>
          <w:szCs w:val="24"/>
        </w:rPr>
        <w:t xml:space="preserve">, </w:t>
      </w:r>
      <m:oMath>
        <m:sSub>
          <m:sSubPr>
            <m:ctrlPr>
              <w:rPr>
                <w:rFonts w:ascii="Cambria Math" w:hAnsi="Cambria Math"/>
                <w:i/>
                <w:sz w:val="24"/>
                <w:szCs w:val="24"/>
              </w:rPr>
            </m:ctrlPr>
          </m:sSubPr>
          <m:e>
            <m:r>
              <w:rPr>
                <w:rFonts w:ascii="Cambria Math" w:hAnsi="Cambria Math"/>
                <w:sz w:val="24"/>
                <w:szCs w:val="24"/>
              </w:rPr>
              <m:t>RECB</m:t>
            </m:r>
          </m:e>
          <m:sub>
            <m:r>
              <w:rPr>
                <w:rFonts w:ascii="Cambria Math" w:hAnsi="Cambria Math"/>
                <w:sz w:val="24"/>
                <w:szCs w:val="24"/>
              </w:rPr>
              <m:t>t</m:t>
            </m:r>
          </m:sub>
        </m:sSub>
      </m:oMath>
      <w:r w:rsidRPr="00123F3A">
        <w:rPr>
          <w:sz w:val="24"/>
          <w:szCs w:val="24"/>
        </w:rPr>
        <w:t xml:space="preserve"> represents the 3 month ECB yield taken at the beginning of the period, </w:t>
      </w:r>
      <m:oMath>
        <m:sSub>
          <m:sSubPr>
            <m:ctrlPr>
              <w:rPr>
                <w:rFonts w:ascii="Cambria Math" w:hAnsi="Cambria Math"/>
                <w:i/>
                <w:sz w:val="24"/>
                <w:szCs w:val="24"/>
              </w:rPr>
            </m:ctrlPr>
          </m:sSubPr>
          <m:e>
            <m:r>
              <w:rPr>
                <w:rFonts w:ascii="Cambria Math" w:hAnsi="Cambria Math"/>
                <w:sz w:val="24"/>
                <w:szCs w:val="24"/>
              </w:rPr>
              <m:t>EQT</m:t>
            </m:r>
          </m:e>
          <m:sub>
            <m:r>
              <w:rPr>
                <w:rFonts w:ascii="Cambria Math" w:hAnsi="Cambria Math"/>
                <w:sz w:val="24"/>
                <w:szCs w:val="24"/>
              </w:rPr>
              <m:t>i,cr,t</m:t>
            </m:r>
          </m:sub>
        </m:sSub>
      </m:oMath>
      <w:r w:rsidRPr="007B689B">
        <w:rPr>
          <w:rFonts w:eastAsiaTheme="minorEastAsia"/>
          <w:sz w:val="24"/>
          <w:szCs w:val="24"/>
        </w:rPr>
        <w:t xml:space="preserve"> </w:t>
      </w:r>
      <w:r w:rsidRPr="00123F3A">
        <w:rPr>
          <w:sz w:val="24"/>
          <w:szCs w:val="24"/>
        </w:rPr>
        <w:t>is the country specific stock index return,</w:t>
      </w:r>
      <m:oMath>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∆CDS</m:t>
            </m:r>
          </m:e>
          <m:sub>
            <m:r>
              <w:rPr>
                <w:rFonts w:ascii="Cambria Math" w:hAnsi="Cambria Math"/>
                <w:sz w:val="24"/>
                <w:szCs w:val="24"/>
              </w:rPr>
              <m:t>cr,t</m:t>
            </m:r>
          </m:sub>
        </m:sSub>
      </m:oMath>
      <w:r w:rsidRPr="00123F3A">
        <w:rPr>
          <w:sz w:val="24"/>
          <w:szCs w:val="24"/>
        </w:rPr>
        <w:t xml:space="preserve"> is the change in country specific 5 year CDS spreads,</w:t>
      </w:r>
      <m:oMath>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∆Spr</m:t>
            </m:r>
          </m:e>
          <m:sub>
            <m:r>
              <w:rPr>
                <w:rFonts w:ascii="Cambria Math" w:hAnsi="Cambria Math"/>
                <w:sz w:val="24"/>
                <w:szCs w:val="24"/>
              </w:rPr>
              <m:t>i,cr,t</m:t>
            </m:r>
          </m:sub>
        </m:sSub>
      </m:oMath>
      <w:r w:rsidRPr="00123F3A">
        <w:rPr>
          <w:sz w:val="24"/>
          <w:szCs w:val="24"/>
        </w:rPr>
        <w:t xml:space="preserve"> is the change in bond specific pSPR, and </w:t>
      </w:r>
      <m:oMath>
        <m:r>
          <w:rPr>
            <w:rFonts w:ascii="Cambria Math" w:hAnsi="Cambria Math"/>
            <w:sz w:val="24"/>
            <w:szCs w:val="24"/>
          </w:rPr>
          <m:t>c</m:t>
        </m:r>
      </m:oMath>
      <w:r w:rsidRPr="00123F3A">
        <w:rPr>
          <w:sz w:val="24"/>
          <w:szCs w:val="24"/>
        </w:rPr>
        <w:t xml:space="preserve"> is the constant.</w:t>
      </w:r>
    </w:p>
    <w:p w:rsidR="00123F3A" w:rsidRDefault="00123F3A" w:rsidP="00BE50DA">
      <w:pPr>
        <w:spacing w:line="360" w:lineRule="auto"/>
        <w:ind w:firstLine="360"/>
        <w:contextualSpacing/>
        <w:jc w:val="both"/>
        <w:rPr>
          <w:sz w:val="24"/>
          <w:szCs w:val="24"/>
        </w:rPr>
      </w:pPr>
      <w:r w:rsidRPr="004B2AE6">
        <w:rPr>
          <w:sz w:val="24"/>
          <w:szCs w:val="24"/>
        </w:rPr>
        <w:t>To make sure no extreme movements bias our results, all returns and changes are winsorized at 1% - 99% taking into account all observations available, country by country for each sub-period. We also implement a de-meaning process for each variable, bond by bond for each sub-period, which removes the need of cross-sectional fixed effects. All pooled regressions are estimated at the daily frequency.</w:t>
      </w:r>
      <w:r w:rsidR="00012BB2">
        <w:rPr>
          <w:sz w:val="24"/>
          <w:szCs w:val="24"/>
        </w:rPr>
        <w:t xml:space="preserve"> </w:t>
      </w:r>
      <w:r w:rsidR="00012BB2" w:rsidRPr="004B2AE6">
        <w:rPr>
          <w:sz w:val="24"/>
          <w:szCs w:val="24"/>
        </w:rPr>
        <w:t>All days where one of the variables is missing for a particular country are excluded from the analysis. This ensures a consistent number of observations throughout model specifications.</w:t>
      </w:r>
      <w:r w:rsidR="00012BB2" w:rsidRPr="004B2AE6">
        <w:rPr>
          <w:rStyle w:val="Rimandonotaapidipagina"/>
          <w:sz w:val="24"/>
          <w:szCs w:val="24"/>
        </w:rPr>
        <w:footnoteReference w:id="10"/>
      </w:r>
    </w:p>
    <w:p w:rsidR="00BE50DA" w:rsidRDefault="00BE50DA" w:rsidP="00BE50DA">
      <w:pPr>
        <w:spacing w:line="360" w:lineRule="auto"/>
        <w:ind w:firstLine="360"/>
        <w:contextualSpacing/>
        <w:jc w:val="both"/>
        <w:rPr>
          <w:sz w:val="24"/>
          <w:szCs w:val="24"/>
        </w:rPr>
      </w:pPr>
    </w:p>
    <w:p w:rsidR="000D5FD1" w:rsidRPr="007B689B" w:rsidRDefault="00A73C31" w:rsidP="00BE50DA">
      <w:pPr>
        <w:pStyle w:val="Paragrafoelenco"/>
        <w:numPr>
          <w:ilvl w:val="0"/>
          <w:numId w:val="1"/>
        </w:numPr>
        <w:spacing w:line="360" w:lineRule="auto"/>
        <w:rPr>
          <w:sz w:val="24"/>
          <w:szCs w:val="24"/>
        </w:rPr>
      </w:pPr>
      <w:r>
        <w:rPr>
          <w:sz w:val="24"/>
          <w:szCs w:val="24"/>
        </w:rPr>
        <w:t>Results</w:t>
      </w:r>
    </w:p>
    <w:p w:rsidR="008E06CA" w:rsidRPr="004B2AE6" w:rsidRDefault="006F6376" w:rsidP="00BE50DA">
      <w:pPr>
        <w:spacing w:line="360" w:lineRule="auto"/>
        <w:ind w:firstLine="360"/>
        <w:contextualSpacing/>
        <w:jc w:val="both"/>
        <w:rPr>
          <w:sz w:val="24"/>
          <w:szCs w:val="24"/>
        </w:rPr>
      </w:pPr>
      <w:r>
        <w:rPr>
          <w:sz w:val="24"/>
          <w:szCs w:val="24"/>
        </w:rPr>
        <w:t xml:space="preserve">We begin our analysis by looking at univariate regressions. </w:t>
      </w:r>
      <w:r w:rsidR="00BA2BA7" w:rsidRPr="004B2AE6">
        <w:rPr>
          <w:sz w:val="24"/>
          <w:szCs w:val="24"/>
        </w:rPr>
        <w:t>Table</w:t>
      </w:r>
      <w:r w:rsidR="005E1A57">
        <w:rPr>
          <w:sz w:val="24"/>
          <w:szCs w:val="24"/>
        </w:rPr>
        <w:t xml:space="preserve"> III</w:t>
      </w:r>
      <w:r w:rsidR="006B4C1D" w:rsidRPr="004B2AE6">
        <w:rPr>
          <w:sz w:val="24"/>
          <w:szCs w:val="24"/>
        </w:rPr>
        <w:t xml:space="preserve"> presents the </w:t>
      </w:r>
      <w:r w:rsidR="00AE1C5B" w:rsidRPr="004B2AE6">
        <w:rPr>
          <w:sz w:val="24"/>
          <w:szCs w:val="24"/>
        </w:rPr>
        <w:t>pooled</w:t>
      </w:r>
      <w:r w:rsidR="006B4C1D" w:rsidRPr="004B2AE6">
        <w:rPr>
          <w:sz w:val="24"/>
          <w:szCs w:val="24"/>
        </w:rPr>
        <w:t xml:space="preserve"> regression</w:t>
      </w:r>
      <w:r w:rsidR="00AE1C5B" w:rsidRPr="004B2AE6">
        <w:rPr>
          <w:sz w:val="24"/>
          <w:szCs w:val="24"/>
        </w:rPr>
        <w:t xml:space="preserve"> estimates when the excess equity return is </w:t>
      </w:r>
      <w:r w:rsidR="00CA4FB3" w:rsidRPr="004B2AE6">
        <w:rPr>
          <w:sz w:val="24"/>
          <w:szCs w:val="24"/>
        </w:rPr>
        <w:t xml:space="preserve">the </w:t>
      </w:r>
      <w:r w:rsidR="005E1A57">
        <w:rPr>
          <w:sz w:val="24"/>
          <w:szCs w:val="24"/>
        </w:rPr>
        <w:t xml:space="preserve">only </w:t>
      </w:r>
      <w:r w:rsidR="00CA4FB3" w:rsidRPr="004B2AE6">
        <w:rPr>
          <w:sz w:val="24"/>
          <w:szCs w:val="24"/>
        </w:rPr>
        <w:t>explanatory variable.</w:t>
      </w:r>
      <w:r w:rsidR="00505C93" w:rsidRPr="004B2AE6">
        <w:rPr>
          <w:sz w:val="24"/>
          <w:szCs w:val="24"/>
        </w:rPr>
        <w:t xml:space="preserve"> </w:t>
      </w:r>
      <w:r w:rsidR="00F10C72">
        <w:rPr>
          <w:sz w:val="24"/>
          <w:szCs w:val="24"/>
        </w:rPr>
        <w:t xml:space="preserve">This articulates the findings previously show in Table I by showing a breakdown by country. </w:t>
      </w:r>
    </w:p>
    <w:p w:rsidR="00995437" w:rsidRPr="004B2AE6" w:rsidRDefault="00995437" w:rsidP="00BE50DA">
      <w:pPr>
        <w:spacing w:line="360" w:lineRule="auto"/>
        <w:ind w:firstLine="357"/>
        <w:contextualSpacing/>
        <w:jc w:val="both"/>
        <w:rPr>
          <w:sz w:val="24"/>
          <w:szCs w:val="24"/>
        </w:rPr>
      </w:pPr>
    </w:p>
    <w:p w:rsidR="00995437" w:rsidRPr="004B2AE6" w:rsidRDefault="002F5102" w:rsidP="00BE50DA">
      <w:pPr>
        <w:spacing w:line="360" w:lineRule="auto"/>
        <w:ind w:firstLine="360"/>
        <w:contextualSpacing/>
        <w:jc w:val="center"/>
        <w:rPr>
          <w:sz w:val="24"/>
          <w:szCs w:val="24"/>
        </w:rPr>
      </w:pPr>
      <w:r w:rsidRPr="004B2AE6">
        <w:rPr>
          <w:sz w:val="24"/>
          <w:szCs w:val="24"/>
        </w:rPr>
        <w:t>[TABLE I</w:t>
      </w:r>
      <w:r w:rsidR="00DE61E7">
        <w:rPr>
          <w:sz w:val="24"/>
          <w:szCs w:val="24"/>
        </w:rPr>
        <w:t>II</w:t>
      </w:r>
      <w:r w:rsidR="00995437" w:rsidRPr="004B2AE6">
        <w:rPr>
          <w:sz w:val="24"/>
          <w:szCs w:val="24"/>
        </w:rPr>
        <w:t xml:space="preserve"> around here]</w:t>
      </w:r>
    </w:p>
    <w:p w:rsidR="00995437" w:rsidRPr="004B2AE6" w:rsidRDefault="00995437" w:rsidP="00BE50DA">
      <w:pPr>
        <w:spacing w:line="360" w:lineRule="auto"/>
        <w:ind w:firstLine="357"/>
        <w:contextualSpacing/>
        <w:jc w:val="both"/>
        <w:rPr>
          <w:sz w:val="24"/>
          <w:szCs w:val="24"/>
        </w:rPr>
      </w:pPr>
    </w:p>
    <w:p w:rsidR="002C242C" w:rsidRPr="004B2AE6" w:rsidRDefault="008E06CA" w:rsidP="00BE50DA">
      <w:pPr>
        <w:spacing w:line="360" w:lineRule="auto"/>
        <w:ind w:firstLine="357"/>
        <w:contextualSpacing/>
        <w:jc w:val="both"/>
        <w:rPr>
          <w:sz w:val="24"/>
          <w:szCs w:val="24"/>
        </w:rPr>
      </w:pPr>
      <w:r w:rsidRPr="004B2AE6">
        <w:rPr>
          <w:sz w:val="24"/>
          <w:szCs w:val="24"/>
        </w:rPr>
        <w:t xml:space="preserve">Even though observing the bond-stock market relationships does offer some insight on changes in sovereign bond prices, a </w:t>
      </w:r>
      <w:r w:rsidR="00DE61E7">
        <w:rPr>
          <w:sz w:val="24"/>
          <w:szCs w:val="24"/>
        </w:rPr>
        <w:t xml:space="preserve">more complete </w:t>
      </w:r>
      <w:r w:rsidRPr="004B2AE6">
        <w:rPr>
          <w:sz w:val="24"/>
          <w:szCs w:val="24"/>
        </w:rPr>
        <w:t xml:space="preserve">picture can be obtained by looking at the credit and liquidity risk factors. Tables </w:t>
      </w:r>
      <w:r w:rsidR="00DE61E7">
        <w:rPr>
          <w:sz w:val="24"/>
          <w:szCs w:val="24"/>
        </w:rPr>
        <w:t>I</w:t>
      </w:r>
      <w:r w:rsidRPr="004B2AE6">
        <w:rPr>
          <w:sz w:val="24"/>
          <w:szCs w:val="24"/>
        </w:rPr>
        <w:t>V and V present the pooled regression results for sovereign bond returns against the country specific 5-year CDS change and against the</w:t>
      </w:r>
      <w:r w:rsidR="008E3CF5" w:rsidRPr="004B2AE6">
        <w:rPr>
          <w:sz w:val="24"/>
          <w:szCs w:val="24"/>
        </w:rPr>
        <w:t xml:space="preserve"> bond specific</w:t>
      </w:r>
      <w:r w:rsidRPr="004B2AE6">
        <w:rPr>
          <w:sz w:val="24"/>
          <w:szCs w:val="24"/>
        </w:rPr>
        <w:t xml:space="preserve"> proportional bid-ask spread change, respectively.</w:t>
      </w:r>
      <w:r w:rsidR="00DE61E7">
        <w:rPr>
          <w:sz w:val="24"/>
          <w:szCs w:val="24"/>
        </w:rPr>
        <w:t xml:space="preserve"> </w:t>
      </w:r>
      <w:r w:rsidR="008E3CF5" w:rsidRPr="004B2AE6">
        <w:rPr>
          <w:sz w:val="24"/>
          <w:szCs w:val="24"/>
        </w:rPr>
        <w:t xml:space="preserve">As expected, there is virtually no indication that either credit or liquidity affects sovereign bond prices in the pre-crisis period. </w:t>
      </w:r>
      <w:r w:rsidR="00D17F67" w:rsidRPr="004B2AE6">
        <w:rPr>
          <w:sz w:val="24"/>
          <w:szCs w:val="24"/>
        </w:rPr>
        <w:t>E</w:t>
      </w:r>
      <w:r w:rsidR="000F263C" w:rsidRPr="004B2AE6">
        <w:rPr>
          <w:sz w:val="24"/>
          <w:szCs w:val="24"/>
        </w:rPr>
        <w:t>xception</w:t>
      </w:r>
      <w:r w:rsidR="00D17F67" w:rsidRPr="004B2AE6">
        <w:rPr>
          <w:sz w:val="24"/>
          <w:szCs w:val="24"/>
        </w:rPr>
        <w:t>s</w:t>
      </w:r>
      <w:r w:rsidR="008E3CF5" w:rsidRPr="004B2AE6">
        <w:rPr>
          <w:sz w:val="24"/>
          <w:szCs w:val="24"/>
        </w:rPr>
        <w:t xml:space="preserve"> </w:t>
      </w:r>
      <w:r w:rsidR="00D17F67" w:rsidRPr="004B2AE6">
        <w:rPr>
          <w:sz w:val="24"/>
          <w:szCs w:val="24"/>
        </w:rPr>
        <w:t>are</w:t>
      </w:r>
      <w:r w:rsidR="008E3CF5" w:rsidRPr="004B2AE6">
        <w:rPr>
          <w:sz w:val="24"/>
          <w:szCs w:val="24"/>
        </w:rPr>
        <w:t xml:space="preserve"> represented by Finland </w:t>
      </w:r>
      <w:r w:rsidR="00D17F67" w:rsidRPr="004B2AE6">
        <w:rPr>
          <w:sz w:val="24"/>
          <w:szCs w:val="24"/>
        </w:rPr>
        <w:t>and France</w:t>
      </w:r>
      <w:r w:rsidR="000F263C" w:rsidRPr="004B2AE6">
        <w:rPr>
          <w:sz w:val="24"/>
          <w:szCs w:val="24"/>
        </w:rPr>
        <w:t>.</w:t>
      </w:r>
      <w:r w:rsidR="008E3CF5" w:rsidRPr="004B2AE6">
        <w:rPr>
          <w:sz w:val="24"/>
          <w:szCs w:val="24"/>
        </w:rPr>
        <w:t xml:space="preserve"> </w:t>
      </w:r>
      <w:r w:rsidR="000F263C" w:rsidRPr="004B2AE6">
        <w:rPr>
          <w:sz w:val="24"/>
          <w:szCs w:val="24"/>
        </w:rPr>
        <w:t>T</w:t>
      </w:r>
      <w:r w:rsidR="00187BD3" w:rsidRPr="004B2AE6">
        <w:rPr>
          <w:sz w:val="24"/>
          <w:szCs w:val="24"/>
        </w:rPr>
        <w:t>he explanatory power is</w:t>
      </w:r>
      <w:r w:rsidR="00AD02FB" w:rsidRPr="004B2AE6">
        <w:rPr>
          <w:sz w:val="24"/>
          <w:szCs w:val="24"/>
        </w:rPr>
        <w:t xml:space="preserve"> very</w:t>
      </w:r>
      <w:r w:rsidR="00187BD3" w:rsidRPr="004B2AE6">
        <w:rPr>
          <w:sz w:val="24"/>
          <w:szCs w:val="24"/>
        </w:rPr>
        <w:t xml:space="preserve"> low</w:t>
      </w:r>
      <w:r w:rsidR="00D17F67" w:rsidRPr="004B2AE6">
        <w:rPr>
          <w:sz w:val="24"/>
          <w:szCs w:val="24"/>
        </w:rPr>
        <w:t xml:space="preserve"> in both cases</w:t>
      </w:r>
      <w:r w:rsidR="00187BD3" w:rsidRPr="004B2AE6">
        <w:rPr>
          <w:sz w:val="24"/>
          <w:szCs w:val="24"/>
        </w:rPr>
        <w:t xml:space="preserve"> and</w:t>
      </w:r>
      <w:r w:rsidR="000F263C" w:rsidRPr="004B2AE6">
        <w:rPr>
          <w:sz w:val="24"/>
          <w:szCs w:val="24"/>
        </w:rPr>
        <w:t xml:space="preserve"> there are n</w:t>
      </w:r>
      <w:r w:rsidR="00762DC5" w:rsidRPr="004B2AE6">
        <w:rPr>
          <w:sz w:val="24"/>
          <w:szCs w:val="24"/>
        </w:rPr>
        <w:t xml:space="preserve">o signs of sharp changes in bond prices. </w:t>
      </w:r>
      <w:r w:rsidR="00DE61E7">
        <w:rPr>
          <w:sz w:val="24"/>
          <w:szCs w:val="24"/>
        </w:rPr>
        <w:t>W</w:t>
      </w:r>
      <w:r w:rsidR="00762DC5" w:rsidRPr="004B2AE6">
        <w:rPr>
          <w:sz w:val="24"/>
          <w:szCs w:val="24"/>
        </w:rPr>
        <w:t xml:space="preserve">e believe this </w:t>
      </w:r>
      <w:r w:rsidR="00DE61E7">
        <w:rPr>
          <w:sz w:val="24"/>
          <w:szCs w:val="24"/>
        </w:rPr>
        <w:t xml:space="preserve">result is spurious and probably </w:t>
      </w:r>
      <w:r w:rsidR="00762DC5" w:rsidRPr="004B2AE6">
        <w:rPr>
          <w:sz w:val="24"/>
          <w:szCs w:val="24"/>
        </w:rPr>
        <w:t>due to the</w:t>
      </w:r>
      <w:r w:rsidR="0074488F" w:rsidRPr="004B2AE6">
        <w:rPr>
          <w:sz w:val="24"/>
          <w:szCs w:val="24"/>
        </w:rPr>
        <w:t xml:space="preserve"> low quality of the CDS dataset during this period</w:t>
      </w:r>
      <w:r w:rsidR="00187BD3" w:rsidRPr="004B2AE6">
        <w:rPr>
          <w:sz w:val="24"/>
          <w:szCs w:val="24"/>
        </w:rPr>
        <w:t>.</w:t>
      </w:r>
      <w:r w:rsidR="008E3CF5" w:rsidRPr="004B2AE6">
        <w:rPr>
          <w:sz w:val="24"/>
          <w:szCs w:val="24"/>
        </w:rPr>
        <w:t xml:space="preserve"> </w:t>
      </w:r>
      <w:r w:rsidRPr="004B2AE6">
        <w:rPr>
          <w:sz w:val="24"/>
          <w:szCs w:val="24"/>
        </w:rPr>
        <w:t xml:space="preserve">   </w:t>
      </w:r>
      <w:r w:rsidR="002C242C" w:rsidRPr="004B2AE6">
        <w:rPr>
          <w:sz w:val="24"/>
          <w:szCs w:val="24"/>
        </w:rPr>
        <w:t xml:space="preserve">               </w:t>
      </w:r>
    </w:p>
    <w:p w:rsidR="00B85986" w:rsidRPr="004B2AE6" w:rsidRDefault="00895DCD" w:rsidP="00BE50DA">
      <w:pPr>
        <w:spacing w:line="360" w:lineRule="auto"/>
        <w:ind w:firstLine="357"/>
        <w:contextualSpacing/>
        <w:jc w:val="both"/>
        <w:rPr>
          <w:sz w:val="24"/>
          <w:szCs w:val="24"/>
        </w:rPr>
      </w:pPr>
      <w:r w:rsidRPr="004B2AE6">
        <w:rPr>
          <w:sz w:val="24"/>
          <w:szCs w:val="24"/>
        </w:rPr>
        <w:t xml:space="preserve">Starting with the </w:t>
      </w:r>
      <w:r w:rsidR="00B246ED" w:rsidRPr="004B2AE6">
        <w:rPr>
          <w:sz w:val="24"/>
          <w:szCs w:val="24"/>
        </w:rPr>
        <w:t>subprime</w:t>
      </w:r>
      <w:r w:rsidRPr="004B2AE6">
        <w:rPr>
          <w:sz w:val="24"/>
          <w:szCs w:val="24"/>
        </w:rPr>
        <w:t xml:space="preserve"> crisis period, </w:t>
      </w:r>
      <w:r w:rsidR="008365C8">
        <w:rPr>
          <w:sz w:val="24"/>
          <w:szCs w:val="24"/>
        </w:rPr>
        <w:t xml:space="preserve">bond returns in </w:t>
      </w:r>
      <w:r w:rsidR="008365C8" w:rsidRPr="004B2AE6">
        <w:rPr>
          <w:sz w:val="24"/>
          <w:szCs w:val="24"/>
        </w:rPr>
        <w:t>Germany, Netherlands, Finland and France</w:t>
      </w:r>
      <w:r w:rsidR="008365C8">
        <w:rPr>
          <w:sz w:val="24"/>
          <w:szCs w:val="24"/>
        </w:rPr>
        <w:t>,</w:t>
      </w:r>
      <w:r w:rsidR="008365C8" w:rsidRPr="004B2AE6" w:rsidDel="008365C8">
        <w:rPr>
          <w:sz w:val="24"/>
          <w:szCs w:val="24"/>
        </w:rPr>
        <w:t xml:space="preserve"> </w:t>
      </w:r>
      <w:r w:rsidR="008365C8">
        <w:rPr>
          <w:sz w:val="24"/>
          <w:szCs w:val="24"/>
        </w:rPr>
        <w:t xml:space="preserve">which are </w:t>
      </w:r>
      <w:r w:rsidRPr="004B2AE6">
        <w:rPr>
          <w:sz w:val="24"/>
          <w:szCs w:val="24"/>
        </w:rPr>
        <w:t>perceived as less risky</w:t>
      </w:r>
      <w:r w:rsidR="008365C8">
        <w:rPr>
          <w:sz w:val="24"/>
          <w:szCs w:val="24"/>
        </w:rPr>
        <w:t>,</w:t>
      </w:r>
      <w:r w:rsidR="00187BD3" w:rsidRPr="004B2AE6">
        <w:rPr>
          <w:sz w:val="24"/>
          <w:szCs w:val="24"/>
        </w:rPr>
        <w:t xml:space="preserve"> are positively related to changes in CDS</w:t>
      </w:r>
      <w:r w:rsidR="008365C8">
        <w:rPr>
          <w:sz w:val="24"/>
          <w:szCs w:val="24"/>
        </w:rPr>
        <w:t xml:space="preserve">. This suggests that higher credit risk even in the local sovereign bond market does not deter investors from buying such securities. The likely implication is that as risk increases in all markets those that are perceived to be less risky become winners, which is </w:t>
      </w:r>
      <w:r w:rsidR="00BE41E6">
        <w:rPr>
          <w:sz w:val="24"/>
          <w:szCs w:val="24"/>
        </w:rPr>
        <w:t xml:space="preserve">a </w:t>
      </w:r>
      <w:r w:rsidR="008365C8">
        <w:rPr>
          <w:sz w:val="24"/>
          <w:szCs w:val="24"/>
        </w:rPr>
        <w:t xml:space="preserve">classic flight to quality scenario. Indeed, for countries that later experienced solvency problems such as </w:t>
      </w:r>
      <w:r w:rsidR="00187BD3" w:rsidRPr="004B2AE6">
        <w:rPr>
          <w:sz w:val="24"/>
          <w:szCs w:val="24"/>
        </w:rPr>
        <w:t>Greece</w:t>
      </w:r>
      <w:r w:rsidRPr="004B2AE6">
        <w:rPr>
          <w:sz w:val="24"/>
          <w:szCs w:val="24"/>
        </w:rPr>
        <w:t xml:space="preserve"> and Ireland</w:t>
      </w:r>
      <w:r w:rsidR="008365C8">
        <w:rPr>
          <w:sz w:val="24"/>
          <w:szCs w:val="24"/>
        </w:rPr>
        <w:t>, higher credit risk is associated with negative bond returns</w:t>
      </w:r>
      <w:r w:rsidR="00BE41E6">
        <w:rPr>
          <w:sz w:val="24"/>
          <w:szCs w:val="24"/>
        </w:rPr>
        <w:t xml:space="preserve"> as investors move to safer assets</w:t>
      </w:r>
      <w:r w:rsidR="00B85986" w:rsidRPr="004B2AE6">
        <w:rPr>
          <w:sz w:val="24"/>
          <w:szCs w:val="24"/>
        </w:rPr>
        <w:t xml:space="preserve">. </w:t>
      </w:r>
    </w:p>
    <w:p w:rsidR="00B85986" w:rsidRPr="004B2AE6" w:rsidRDefault="00B85986" w:rsidP="00BE50DA">
      <w:pPr>
        <w:spacing w:line="360" w:lineRule="auto"/>
        <w:ind w:firstLine="357"/>
        <w:contextualSpacing/>
        <w:jc w:val="both"/>
        <w:rPr>
          <w:sz w:val="24"/>
          <w:szCs w:val="24"/>
        </w:rPr>
      </w:pPr>
      <w:r w:rsidRPr="004B2AE6">
        <w:rPr>
          <w:sz w:val="24"/>
          <w:szCs w:val="24"/>
        </w:rPr>
        <w:t xml:space="preserve">The </w:t>
      </w:r>
      <w:r w:rsidR="00BE41E6">
        <w:rPr>
          <w:sz w:val="24"/>
          <w:szCs w:val="24"/>
        </w:rPr>
        <w:t xml:space="preserve">distinction between high and low risk </w:t>
      </w:r>
      <w:r w:rsidRPr="004B2AE6">
        <w:rPr>
          <w:sz w:val="24"/>
          <w:szCs w:val="24"/>
        </w:rPr>
        <w:t>countries becomes clear in the first part of the sovereign debt crisis period</w:t>
      </w:r>
      <w:r w:rsidR="00BE41E6">
        <w:rPr>
          <w:sz w:val="24"/>
          <w:szCs w:val="24"/>
        </w:rPr>
        <w:t xml:space="preserve"> where </w:t>
      </w:r>
      <w:r w:rsidR="00645DF2" w:rsidRPr="004B2AE6">
        <w:rPr>
          <w:sz w:val="24"/>
          <w:szCs w:val="24"/>
        </w:rPr>
        <w:t xml:space="preserve">countries with perceived </w:t>
      </w:r>
      <w:r w:rsidR="00BE41E6">
        <w:rPr>
          <w:sz w:val="24"/>
          <w:szCs w:val="24"/>
        </w:rPr>
        <w:t>excessive</w:t>
      </w:r>
      <w:r w:rsidR="00BE41E6" w:rsidRPr="004B2AE6">
        <w:rPr>
          <w:sz w:val="24"/>
          <w:szCs w:val="24"/>
        </w:rPr>
        <w:t xml:space="preserve"> </w:t>
      </w:r>
      <w:r w:rsidR="00645DF2" w:rsidRPr="004B2AE6">
        <w:rPr>
          <w:sz w:val="24"/>
          <w:szCs w:val="24"/>
        </w:rPr>
        <w:t>levels of debt have a negative and statistically significant CDS coefficient. Th</w:t>
      </w:r>
      <w:r w:rsidR="00BE41E6">
        <w:rPr>
          <w:sz w:val="24"/>
          <w:szCs w:val="24"/>
        </w:rPr>
        <w:t>e</w:t>
      </w:r>
      <w:r w:rsidR="00645DF2" w:rsidRPr="004B2AE6">
        <w:rPr>
          <w:sz w:val="24"/>
          <w:szCs w:val="24"/>
        </w:rPr>
        <w:t>s</w:t>
      </w:r>
      <w:r w:rsidR="00BE41E6">
        <w:rPr>
          <w:sz w:val="24"/>
          <w:szCs w:val="24"/>
        </w:rPr>
        <w:t>e</w:t>
      </w:r>
      <w:r w:rsidR="00645DF2" w:rsidRPr="004B2AE6">
        <w:rPr>
          <w:sz w:val="24"/>
          <w:szCs w:val="24"/>
        </w:rPr>
        <w:t xml:space="preserve"> include Italy, Spain, Portugal, Ireland</w:t>
      </w:r>
      <w:r w:rsidR="00BE41E6">
        <w:rPr>
          <w:sz w:val="24"/>
          <w:szCs w:val="24"/>
        </w:rPr>
        <w:t xml:space="preserve"> and</w:t>
      </w:r>
      <w:r w:rsidR="00645DF2" w:rsidRPr="004B2AE6">
        <w:rPr>
          <w:sz w:val="24"/>
          <w:szCs w:val="24"/>
        </w:rPr>
        <w:t xml:space="preserve"> Greece</w:t>
      </w:r>
      <w:r w:rsidR="00BE41E6">
        <w:rPr>
          <w:sz w:val="24"/>
          <w:szCs w:val="24"/>
        </w:rPr>
        <w:t xml:space="preserve">. Belgium also </w:t>
      </w:r>
      <w:r w:rsidR="00E001E5">
        <w:rPr>
          <w:sz w:val="24"/>
          <w:szCs w:val="24"/>
        </w:rPr>
        <w:t>falls into this group as it</w:t>
      </w:r>
      <w:r w:rsidR="005111BE" w:rsidRPr="004B2AE6">
        <w:rPr>
          <w:sz w:val="24"/>
          <w:szCs w:val="24"/>
        </w:rPr>
        <w:t xml:space="preserve"> </w:t>
      </w:r>
      <w:r w:rsidR="00E001E5">
        <w:rPr>
          <w:sz w:val="24"/>
          <w:szCs w:val="24"/>
        </w:rPr>
        <w:t xml:space="preserve">experienced </w:t>
      </w:r>
      <w:r w:rsidR="005111BE" w:rsidRPr="004B2AE6">
        <w:rPr>
          <w:sz w:val="24"/>
          <w:szCs w:val="24"/>
        </w:rPr>
        <w:t>a relatively high debt-to-GDP</w:t>
      </w:r>
      <w:r w:rsidR="00645DF2" w:rsidRPr="004B2AE6">
        <w:rPr>
          <w:sz w:val="24"/>
          <w:szCs w:val="24"/>
        </w:rPr>
        <w:t xml:space="preserve"> </w:t>
      </w:r>
      <w:r w:rsidR="005111BE" w:rsidRPr="004B2AE6">
        <w:rPr>
          <w:sz w:val="24"/>
          <w:szCs w:val="24"/>
        </w:rPr>
        <w:t xml:space="preserve">ratio </w:t>
      </w:r>
      <w:r w:rsidR="00E001E5">
        <w:rPr>
          <w:sz w:val="24"/>
          <w:szCs w:val="24"/>
        </w:rPr>
        <w:t xml:space="preserve">(varying between 80-100% in the pre-crisis period) </w:t>
      </w:r>
      <w:r w:rsidR="005111BE" w:rsidRPr="004B2AE6">
        <w:rPr>
          <w:sz w:val="24"/>
          <w:szCs w:val="24"/>
        </w:rPr>
        <w:t xml:space="preserve">compared to other Euro-zone countries and starting mid-2008 two </w:t>
      </w:r>
      <w:r w:rsidR="00E001E5">
        <w:rPr>
          <w:sz w:val="24"/>
          <w:szCs w:val="24"/>
        </w:rPr>
        <w:t xml:space="preserve">of its </w:t>
      </w:r>
      <w:r w:rsidR="005111BE" w:rsidRPr="004B2AE6">
        <w:rPr>
          <w:sz w:val="24"/>
          <w:szCs w:val="24"/>
        </w:rPr>
        <w:t>largest banks, Fortis and Dexia</w:t>
      </w:r>
      <w:r w:rsidR="00E001E5">
        <w:rPr>
          <w:sz w:val="24"/>
          <w:szCs w:val="24"/>
        </w:rPr>
        <w:t xml:space="preserve"> </w:t>
      </w:r>
      <w:r w:rsidR="007236B3">
        <w:rPr>
          <w:sz w:val="24"/>
          <w:szCs w:val="24"/>
        </w:rPr>
        <w:t>sought</w:t>
      </w:r>
      <w:r w:rsidR="00E001E5">
        <w:rPr>
          <w:sz w:val="24"/>
          <w:szCs w:val="24"/>
        </w:rPr>
        <w:t xml:space="preserve"> government support</w:t>
      </w:r>
      <w:r w:rsidR="005111BE" w:rsidRPr="004B2AE6">
        <w:rPr>
          <w:sz w:val="24"/>
          <w:szCs w:val="24"/>
        </w:rPr>
        <w:t xml:space="preserve">. </w:t>
      </w:r>
      <w:r w:rsidR="00DF6D43">
        <w:rPr>
          <w:sz w:val="24"/>
          <w:szCs w:val="24"/>
        </w:rPr>
        <w:t xml:space="preserve">Of the countries with a positive relationship between bond returns and CDS price changes in the subprime crisis only Germany, Netherland and Finland preserve it throughout the sovereign crisis. </w:t>
      </w:r>
      <w:r w:rsidR="00D412AB" w:rsidRPr="004B2AE6">
        <w:rPr>
          <w:sz w:val="24"/>
          <w:szCs w:val="24"/>
        </w:rPr>
        <w:t>Except for France</w:t>
      </w:r>
      <w:r w:rsidR="00DF6D43">
        <w:rPr>
          <w:sz w:val="24"/>
          <w:szCs w:val="24"/>
        </w:rPr>
        <w:t xml:space="preserve"> and Austria</w:t>
      </w:r>
      <w:r w:rsidR="00D412AB" w:rsidRPr="004B2AE6">
        <w:rPr>
          <w:sz w:val="24"/>
          <w:szCs w:val="24"/>
        </w:rPr>
        <w:t>, all R</w:t>
      </w:r>
      <w:r w:rsidR="00D412AB" w:rsidRPr="004B2AE6">
        <w:rPr>
          <w:sz w:val="24"/>
          <w:szCs w:val="24"/>
          <w:vertAlign w:val="superscript"/>
        </w:rPr>
        <w:t>2</w:t>
      </w:r>
      <w:r w:rsidR="00D412AB" w:rsidRPr="004B2AE6">
        <w:rPr>
          <w:sz w:val="24"/>
          <w:szCs w:val="24"/>
        </w:rPr>
        <w:t xml:space="preserve"> values surge as compared to the previous period. Maximum increases on the negative side are recorded for</w:t>
      </w:r>
      <w:r w:rsidR="00B246ED" w:rsidRPr="004B2AE6">
        <w:rPr>
          <w:sz w:val="24"/>
          <w:szCs w:val="24"/>
        </w:rPr>
        <w:t xml:space="preserve"> Spain</w:t>
      </w:r>
      <w:r w:rsidR="00D412AB" w:rsidRPr="004B2AE6">
        <w:rPr>
          <w:sz w:val="24"/>
          <w:szCs w:val="24"/>
        </w:rPr>
        <w:t xml:space="preserve"> and</w:t>
      </w:r>
      <w:r w:rsidR="00B246ED" w:rsidRPr="004B2AE6">
        <w:rPr>
          <w:sz w:val="24"/>
          <w:szCs w:val="24"/>
        </w:rPr>
        <w:t xml:space="preserve"> Italy</w:t>
      </w:r>
      <w:r w:rsidR="00D412AB" w:rsidRPr="004B2AE6">
        <w:rPr>
          <w:sz w:val="24"/>
          <w:szCs w:val="24"/>
        </w:rPr>
        <w:t>, where credit risk explains roughly 32</w:t>
      </w:r>
      <w:r w:rsidR="008759AF" w:rsidRPr="004B2AE6">
        <w:rPr>
          <w:sz w:val="24"/>
          <w:szCs w:val="24"/>
        </w:rPr>
        <w:t>.31</w:t>
      </w:r>
      <w:r w:rsidR="00D412AB" w:rsidRPr="004B2AE6">
        <w:rPr>
          <w:sz w:val="24"/>
          <w:szCs w:val="24"/>
        </w:rPr>
        <w:t xml:space="preserve">% of sovereign bond price variation. </w:t>
      </w:r>
      <w:r w:rsidR="00251803" w:rsidRPr="004B2AE6">
        <w:rPr>
          <w:sz w:val="24"/>
          <w:szCs w:val="24"/>
        </w:rPr>
        <w:t xml:space="preserve">Surprisingly, credit risk explains only </w:t>
      </w:r>
      <w:r w:rsidR="007F6DD3" w:rsidRPr="004B2AE6">
        <w:rPr>
          <w:sz w:val="24"/>
          <w:szCs w:val="24"/>
        </w:rPr>
        <w:t>21</w:t>
      </w:r>
      <w:r w:rsidR="008759AF" w:rsidRPr="004B2AE6">
        <w:rPr>
          <w:sz w:val="24"/>
          <w:szCs w:val="24"/>
        </w:rPr>
        <w:t>.25</w:t>
      </w:r>
      <w:r w:rsidR="00251803" w:rsidRPr="004B2AE6">
        <w:rPr>
          <w:sz w:val="24"/>
          <w:szCs w:val="24"/>
        </w:rPr>
        <w:t>% of Greek</w:t>
      </w:r>
      <w:r w:rsidR="007F6DD3" w:rsidRPr="004B2AE6">
        <w:rPr>
          <w:sz w:val="24"/>
          <w:szCs w:val="24"/>
        </w:rPr>
        <w:t xml:space="preserve"> and Irish</w:t>
      </w:r>
      <w:r w:rsidR="00251803" w:rsidRPr="004B2AE6">
        <w:rPr>
          <w:sz w:val="24"/>
          <w:szCs w:val="24"/>
        </w:rPr>
        <w:t xml:space="preserve"> bond returns. One explanation for this might be the high level of noise that </w:t>
      </w:r>
      <w:r w:rsidR="00E5326A" w:rsidRPr="004B2AE6">
        <w:rPr>
          <w:sz w:val="24"/>
          <w:szCs w:val="24"/>
        </w:rPr>
        <w:t xml:space="preserve">describes the Greek </w:t>
      </w:r>
      <w:r w:rsidR="00995437" w:rsidRPr="004B2AE6">
        <w:rPr>
          <w:sz w:val="24"/>
          <w:szCs w:val="24"/>
        </w:rPr>
        <w:t xml:space="preserve">bond and CDS </w:t>
      </w:r>
      <w:r w:rsidR="00E5326A" w:rsidRPr="004B2AE6">
        <w:rPr>
          <w:sz w:val="24"/>
          <w:szCs w:val="24"/>
        </w:rPr>
        <w:t>markets over this period.</w:t>
      </w:r>
      <w:r w:rsidR="00251803" w:rsidRPr="004B2AE6">
        <w:rPr>
          <w:sz w:val="24"/>
          <w:szCs w:val="24"/>
        </w:rPr>
        <w:t xml:space="preserve"> </w:t>
      </w:r>
    </w:p>
    <w:p w:rsidR="00B85986" w:rsidRPr="004B2AE6" w:rsidRDefault="00995437" w:rsidP="00BE50DA">
      <w:pPr>
        <w:spacing w:line="360" w:lineRule="auto"/>
        <w:ind w:firstLine="357"/>
        <w:contextualSpacing/>
        <w:jc w:val="both"/>
        <w:rPr>
          <w:sz w:val="24"/>
          <w:szCs w:val="24"/>
        </w:rPr>
      </w:pPr>
      <w:r w:rsidRPr="004B2AE6">
        <w:rPr>
          <w:sz w:val="24"/>
          <w:szCs w:val="24"/>
        </w:rPr>
        <w:lastRenderedPageBreak/>
        <w:t>We observe some important changes in the second part of the sovereign crisis period. France and Austria join the group of countries that are negatively affected by credit risk as fear spread</w:t>
      </w:r>
      <w:r w:rsidR="00DF6D43">
        <w:rPr>
          <w:sz w:val="24"/>
          <w:szCs w:val="24"/>
        </w:rPr>
        <w:t>s</w:t>
      </w:r>
      <w:r w:rsidRPr="004B2AE6">
        <w:rPr>
          <w:sz w:val="24"/>
          <w:szCs w:val="24"/>
        </w:rPr>
        <w:t xml:space="preserve"> </w:t>
      </w:r>
      <w:r w:rsidR="00DF6D43">
        <w:rPr>
          <w:sz w:val="24"/>
          <w:szCs w:val="24"/>
        </w:rPr>
        <w:t xml:space="preserve">over a </w:t>
      </w:r>
      <w:r w:rsidRPr="004B2AE6">
        <w:rPr>
          <w:sz w:val="24"/>
          <w:szCs w:val="24"/>
        </w:rPr>
        <w:t xml:space="preserve">possible </w:t>
      </w:r>
      <w:r w:rsidR="00DF6D43">
        <w:rPr>
          <w:sz w:val="24"/>
          <w:szCs w:val="24"/>
        </w:rPr>
        <w:t xml:space="preserve">downturn </w:t>
      </w:r>
      <w:r w:rsidRPr="004B2AE6">
        <w:rPr>
          <w:sz w:val="24"/>
          <w:szCs w:val="24"/>
        </w:rPr>
        <w:t>in both countries.</w:t>
      </w:r>
      <w:r w:rsidR="00D255FF" w:rsidRPr="004B2AE6">
        <w:rPr>
          <w:sz w:val="24"/>
          <w:szCs w:val="24"/>
        </w:rPr>
        <w:t xml:space="preserve"> </w:t>
      </w:r>
      <w:r w:rsidR="00DF6D43">
        <w:rPr>
          <w:sz w:val="24"/>
          <w:szCs w:val="24"/>
        </w:rPr>
        <w:t xml:space="preserve">Sensitivity to </w:t>
      </w:r>
      <w:r w:rsidR="00D255FF" w:rsidRPr="004B2AE6">
        <w:rPr>
          <w:sz w:val="24"/>
          <w:szCs w:val="24"/>
        </w:rPr>
        <w:t xml:space="preserve">credit risk </w:t>
      </w:r>
      <w:r w:rsidR="00DF6D43">
        <w:rPr>
          <w:sz w:val="24"/>
          <w:szCs w:val="24"/>
        </w:rPr>
        <w:t xml:space="preserve">increases markedly for </w:t>
      </w:r>
      <w:r w:rsidR="00C26DDB" w:rsidRPr="004B2AE6">
        <w:rPr>
          <w:sz w:val="24"/>
          <w:szCs w:val="24"/>
        </w:rPr>
        <w:t>Italy</w:t>
      </w:r>
      <w:r w:rsidR="00DF6D43">
        <w:rPr>
          <w:sz w:val="24"/>
          <w:szCs w:val="24"/>
        </w:rPr>
        <w:t xml:space="preserve"> and </w:t>
      </w:r>
      <w:r w:rsidR="00C26DDB" w:rsidRPr="004B2AE6">
        <w:rPr>
          <w:sz w:val="24"/>
          <w:szCs w:val="24"/>
        </w:rPr>
        <w:t>Spain, as the</w:t>
      </w:r>
      <w:r w:rsidR="00DF6D43">
        <w:rPr>
          <w:sz w:val="24"/>
          <w:szCs w:val="24"/>
        </w:rPr>
        <w:t>ir</w:t>
      </w:r>
      <w:r w:rsidR="00C26DDB" w:rsidRPr="004B2AE6">
        <w:rPr>
          <w:sz w:val="24"/>
          <w:szCs w:val="24"/>
        </w:rPr>
        <w:t xml:space="preserve"> CDS coefficient</w:t>
      </w:r>
      <w:r w:rsidR="00DF6D43">
        <w:rPr>
          <w:sz w:val="24"/>
          <w:szCs w:val="24"/>
        </w:rPr>
        <w:t>s</w:t>
      </w:r>
      <w:r w:rsidR="00C26DDB" w:rsidRPr="004B2AE6">
        <w:rPr>
          <w:sz w:val="24"/>
          <w:szCs w:val="24"/>
        </w:rPr>
        <w:t xml:space="preserve"> increase in magnitude and</w:t>
      </w:r>
      <w:r w:rsidR="005E470D" w:rsidRPr="004B2AE6">
        <w:rPr>
          <w:sz w:val="24"/>
          <w:szCs w:val="24"/>
        </w:rPr>
        <w:t xml:space="preserve"> </w:t>
      </w:r>
      <w:r w:rsidR="00DF6D43">
        <w:rPr>
          <w:sz w:val="24"/>
          <w:szCs w:val="24"/>
        </w:rPr>
        <w:t>R-squares rise above 40%</w:t>
      </w:r>
      <w:r w:rsidR="00C26DDB" w:rsidRPr="004B2AE6">
        <w:rPr>
          <w:sz w:val="24"/>
          <w:szCs w:val="24"/>
        </w:rPr>
        <w:t xml:space="preserve">. </w:t>
      </w:r>
      <w:r w:rsidR="00D255FF" w:rsidRPr="004B2AE6">
        <w:rPr>
          <w:sz w:val="24"/>
          <w:szCs w:val="24"/>
        </w:rPr>
        <w:t>Lower R</w:t>
      </w:r>
      <w:r w:rsidR="00D255FF" w:rsidRPr="004B2AE6">
        <w:rPr>
          <w:sz w:val="24"/>
          <w:szCs w:val="24"/>
          <w:vertAlign w:val="superscript"/>
        </w:rPr>
        <w:t>2</w:t>
      </w:r>
      <w:r w:rsidR="00D255FF" w:rsidRPr="004B2AE6">
        <w:rPr>
          <w:sz w:val="24"/>
          <w:szCs w:val="24"/>
        </w:rPr>
        <w:t>s are documented for Portugal and Ireland, which have already received a bailout.</w:t>
      </w:r>
    </w:p>
    <w:p w:rsidR="004447FC" w:rsidRPr="004B2AE6" w:rsidRDefault="00652388" w:rsidP="00BE50DA">
      <w:pPr>
        <w:spacing w:line="360" w:lineRule="auto"/>
        <w:ind w:firstLine="357"/>
        <w:contextualSpacing/>
        <w:jc w:val="both"/>
        <w:rPr>
          <w:sz w:val="24"/>
          <w:szCs w:val="24"/>
        </w:rPr>
      </w:pPr>
      <w:r>
        <w:rPr>
          <w:sz w:val="24"/>
          <w:szCs w:val="24"/>
        </w:rPr>
        <w:t>Turning to the univariate liquidity analysis, t</w:t>
      </w:r>
      <w:r w:rsidR="00187BD3" w:rsidRPr="004B2AE6">
        <w:rPr>
          <w:sz w:val="24"/>
          <w:szCs w:val="24"/>
        </w:rPr>
        <w:t xml:space="preserve">he </w:t>
      </w:r>
      <w:r w:rsidR="00400C58" w:rsidRPr="004B2AE6">
        <w:rPr>
          <w:sz w:val="24"/>
          <w:szCs w:val="24"/>
        </w:rPr>
        <w:t xml:space="preserve">liquidity coefficient </w:t>
      </w:r>
      <w:r w:rsidR="00BF7F72" w:rsidRPr="004B2AE6">
        <w:rPr>
          <w:sz w:val="24"/>
          <w:szCs w:val="24"/>
        </w:rPr>
        <w:t xml:space="preserve">is statistically significant only for </w:t>
      </w:r>
      <w:r>
        <w:rPr>
          <w:sz w:val="24"/>
          <w:szCs w:val="24"/>
        </w:rPr>
        <w:t xml:space="preserve">high risk </w:t>
      </w:r>
      <w:r w:rsidR="00BF7F72" w:rsidRPr="004B2AE6">
        <w:rPr>
          <w:sz w:val="24"/>
          <w:szCs w:val="24"/>
        </w:rPr>
        <w:t xml:space="preserve">countries </w:t>
      </w:r>
      <w:r w:rsidR="00C63306" w:rsidRPr="004B2AE6">
        <w:rPr>
          <w:sz w:val="24"/>
          <w:szCs w:val="24"/>
        </w:rPr>
        <w:t>and is</w:t>
      </w:r>
      <w:r w:rsidR="00BF7F72" w:rsidRPr="004B2AE6">
        <w:rPr>
          <w:sz w:val="24"/>
          <w:szCs w:val="24"/>
        </w:rPr>
        <w:t xml:space="preserve"> negative</w:t>
      </w:r>
      <w:r w:rsidR="00187BD3" w:rsidRPr="004B2AE6">
        <w:rPr>
          <w:sz w:val="24"/>
          <w:szCs w:val="24"/>
        </w:rPr>
        <w:t xml:space="preserve">. </w:t>
      </w:r>
      <w:r>
        <w:rPr>
          <w:sz w:val="24"/>
          <w:szCs w:val="24"/>
        </w:rPr>
        <w:t xml:space="preserve">As we do not have a corresponding positive and </w:t>
      </w:r>
      <w:r w:rsidR="00D70F77">
        <w:rPr>
          <w:sz w:val="24"/>
          <w:szCs w:val="24"/>
        </w:rPr>
        <w:t>significant</w:t>
      </w:r>
      <w:r>
        <w:rPr>
          <w:sz w:val="24"/>
          <w:szCs w:val="24"/>
        </w:rPr>
        <w:t xml:space="preserve"> coefficient for low risk countries we can describe this result as a “flight away from illiquidity”</w:t>
      </w:r>
      <w:r w:rsidR="00D70F77">
        <w:rPr>
          <w:sz w:val="24"/>
          <w:szCs w:val="24"/>
        </w:rPr>
        <w:t xml:space="preserve"> rather than a “flight to liquidity”.</w:t>
      </w:r>
      <w:r>
        <w:rPr>
          <w:sz w:val="24"/>
          <w:szCs w:val="24"/>
        </w:rPr>
        <w:t xml:space="preserve"> </w:t>
      </w:r>
      <w:r w:rsidR="00C63306" w:rsidRPr="004B2AE6">
        <w:rPr>
          <w:sz w:val="24"/>
          <w:szCs w:val="24"/>
        </w:rPr>
        <w:t>During the subprime crisis period,</w:t>
      </w:r>
      <w:r w:rsidR="007F6DD3" w:rsidRPr="004B2AE6">
        <w:rPr>
          <w:sz w:val="24"/>
          <w:szCs w:val="24"/>
        </w:rPr>
        <w:t xml:space="preserve"> Spain,</w:t>
      </w:r>
      <w:r w:rsidR="00C63306" w:rsidRPr="004B2AE6">
        <w:rPr>
          <w:sz w:val="24"/>
          <w:szCs w:val="24"/>
        </w:rPr>
        <w:t xml:space="preserve"> Portugal, Ireland and Greece are the first to be affected by liquidity risk </w:t>
      </w:r>
      <w:r>
        <w:rPr>
          <w:sz w:val="24"/>
          <w:szCs w:val="24"/>
        </w:rPr>
        <w:t xml:space="preserve">with an average </w:t>
      </w:r>
      <w:r w:rsidR="00C63306" w:rsidRPr="004B2AE6">
        <w:rPr>
          <w:sz w:val="24"/>
          <w:szCs w:val="24"/>
        </w:rPr>
        <w:t>0.2</w:t>
      </w:r>
      <w:r w:rsidR="007F6DD3" w:rsidRPr="004B2AE6">
        <w:rPr>
          <w:sz w:val="24"/>
          <w:szCs w:val="24"/>
        </w:rPr>
        <w:t>7</w:t>
      </w:r>
      <w:r w:rsidR="00C63306" w:rsidRPr="004B2AE6">
        <w:rPr>
          <w:sz w:val="24"/>
          <w:szCs w:val="24"/>
        </w:rPr>
        <w:t xml:space="preserve"> b.p. decrease in sovereign bond returns for a 1 b.p. increase in the pSPR.</w:t>
      </w:r>
      <w:r w:rsidR="001F5ACB" w:rsidRPr="004B2AE6">
        <w:rPr>
          <w:sz w:val="24"/>
          <w:szCs w:val="24"/>
        </w:rPr>
        <w:t xml:space="preserve">  </w:t>
      </w:r>
      <w:r w:rsidR="00D70F77">
        <w:rPr>
          <w:sz w:val="24"/>
          <w:szCs w:val="24"/>
        </w:rPr>
        <w:t>It is interesting to note that a</w:t>
      </w:r>
      <w:r w:rsidR="00210923" w:rsidRPr="004B2AE6">
        <w:rPr>
          <w:sz w:val="24"/>
          <w:szCs w:val="24"/>
        </w:rPr>
        <w:t xml:space="preserve">ll countries negatively affected by credit risk </w:t>
      </w:r>
      <w:r w:rsidR="00D70F77">
        <w:rPr>
          <w:sz w:val="24"/>
          <w:szCs w:val="24"/>
        </w:rPr>
        <w:t xml:space="preserve">as shown in Table III </w:t>
      </w:r>
      <w:r w:rsidR="00210923" w:rsidRPr="004B2AE6">
        <w:rPr>
          <w:sz w:val="24"/>
          <w:szCs w:val="24"/>
        </w:rPr>
        <w:t>are also negatively affected by liquidity risk</w:t>
      </w:r>
      <w:r w:rsidR="00AC61D3">
        <w:rPr>
          <w:sz w:val="24"/>
          <w:szCs w:val="24"/>
        </w:rPr>
        <w:t xml:space="preserve"> though the explanatory power of the latter is lower</w:t>
      </w:r>
      <w:r w:rsidR="00210923" w:rsidRPr="004B2AE6">
        <w:rPr>
          <w:sz w:val="24"/>
          <w:szCs w:val="24"/>
        </w:rPr>
        <w:t>.</w:t>
      </w:r>
      <w:r w:rsidR="007F6DD3" w:rsidRPr="004B2AE6">
        <w:rPr>
          <w:sz w:val="24"/>
          <w:szCs w:val="24"/>
        </w:rPr>
        <w:t xml:space="preserve"> </w:t>
      </w:r>
      <w:r w:rsidR="00D70F77">
        <w:rPr>
          <w:sz w:val="24"/>
          <w:szCs w:val="24"/>
        </w:rPr>
        <w:t xml:space="preserve">Also, </w:t>
      </w:r>
      <w:r w:rsidR="001330AD" w:rsidRPr="004B2AE6">
        <w:rPr>
          <w:sz w:val="24"/>
          <w:szCs w:val="24"/>
        </w:rPr>
        <w:t>during the second part of the sovereign crisis period</w:t>
      </w:r>
      <w:r w:rsidR="0024299F" w:rsidRPr="004B2AE6">
        <w:rPr>
          <w:sz w:val="24"/>
          <w:szCs w:val="24"/>
        </w:rPr>
        <w:t xml:space="preserve"> th</w:t>
      </w:r>
      <w:r w:rsidR="001330AD" w:rsidRPr="004B2AE6">
        <w:rPr>
          <w:sz w:val="24"/>
          <w:szCs w:val="24"/>
        </w:rPr>
        <w:t>e liquidity risk effect largely dies out.</w:t>
      </w:r>
      <w:r w:rsidR="00A83411" w:rsidRPr="004B2AE6">
        <w:rPr>
          <w:sz w:val="24"/>
          <w:szCs w:val="24"/>
        </w:rPr>
        <w:t xml:space="preserve"> </w:t>
      </w:r>
    </w:p>
    <w:p w:rsidR="00251803" w:rsidRPr="004B2AE6" w:rsidRDefault="00AC61D3" w:rsidP="00BE50DA">
      <w:pPr>
        <w:spacing w:line="360" w:lineRule="auto"/>
        <w:ind w:firstLine="360"/>
        <w:contextualSpacing/>
        <w:jc w:val="center"/>
        <w:rPr>
          <w:sz w:val="24"/>
          <w:szCs w:val="24"/>
        </w:rPr>
      </w:pPr>
      <w:r w:rsidRPr="004B2AE6" w:rsidDel="00AC61D3">
        <w:rPr>
          <w:sz w:val="24"/>
          <w:szCs w:val="24"/>
        </w:rPr>
        <w:t xml:space="preserve"> </w:t>
      </w:r>
      <w:r w:rsidR="00251803" w:rsidRPr="004B2AE6">
        <w:rPr>
          <w:sz w:val="24"/>
          <w:szCs w:val="24"/>
        </w:rPr>
        <w:t xml:space="preserve">[TABLES </w:t>
      </w:r>
      <w:r w:rsidR="00D70F77">
        <w:rPr>
          <w:sz w:val="24"/>
          <w:szCs w:val="24"/>
        </w:rPr>
        <w:t>I</w:t>
      </w:r>
      <w:r w:rsidR="002F5102" w:rsidRPr="004B2AE6">
        <w:rPr>
          <w:sz w:val="24"/>
          <w:szCs w:val="24"/>
        </w:rPr>
        <w:t xml:space="preserve">V and V </w:t>
      </w:r>
      <w:r w:rsidR="00251803" w:rsidRPr="004B2AE6">
        <w:rPr>
          <w:sz w:val="24"/>
          <w:szCs w:val="24"/>
        </w:rPr>
        <w:t>around here]</w:t>
      </w:r>
    </w:p>
    <w:p w:rsidR="00012BB2" w:rsidRPr="004B2AE6" w:rsidRDefault="00012BB2" w:rsidP="00BE50DA">
      <w:pPr>
        <w:spacing w:line="360" w:lineRule="auto"/>
        <w:ind w:firstLine="360"/>
        <w:contextualSpacing/>
        <w:jc w:val="center"/>
        <w:rPr>
          <w:sz w:val="24"/>
          <w:szCs w:val="24"/>
        </w:rPr>
      </w:pPr>
    </w:p>
    <w:p w:rsidR="00332BF2" w:rsidRPr="004B2AE6" w:rsidRDefault="00AC61D3" w:rsidP="00BE50DA">
      <w:pPr>
        <w:spacing w:line="360" w:lineRule="auto"/>
        <w:ind w:firstLine="357"/>
        <w:contextualSpacing/>
        <w:jc w:val="both"/>
        <w:rPr>
          <w:sz w:val="24"/>
          <w:szCs w:val="24"/>
        </w:rPr>
      </w:pPr>
      <w:r>
        <w:rPr>
          <w:sz w:val="24"/>
          <w:szCs w:val="24"/>
        </w:rPr>
        <w:t>When we combine all explanatory variables in a multivariate regression the results of the univariate analysis are broadly confirmed. Findings are reported in Table VI.</w:t>
      </w:r>
      <w:r w:rsidR="00DE5530">
        <w:rPr>
          <w:sz w:val="24"/>
          <w:szCs w:val="24"/>
        </w:rPr>
        <w:t xml:space="preserve"> There are two coefficients that present different </w:t>
      </w:r>
      <w:r w:rsidR="005A2326">
        <w:rPr>
          <w:sz w:val="24"/>
          <w:szCs w:val="24"/>
        </w:rPr>
        <w:t>characteristics than before.</w:t>
      </w:r>
      <w:r w:rsidR="00D85AE5">
        <w:rPr>
          <w:sz w:val="24"/>
          <w:szCs w:val="24"/>
        </w:rPr>
        <w:t xml:space="preserve"> </w:t>
      </w:r>
      <w:r w:rsidR="005A2326">
        <w:rPr>
          <w:sz w:val="24"/>
          <w:szCs w:val="24"/>
        </w:rPr>
        <w:t xml:space="preserve">The credit risk factor is not statistically significant during the subprime crisis period for low risk countries and the stock market coefficient is now barely statistically significant and negative (not positive as in the univariate regressions) during the first part of the sovereign debt crisis period for high risk countries. </w:t>
      </w:r>
      <w:r w:rsidR="00E86888">
        <w:rPr>
          <w:sz w:val="24"/>
          <w:szCs w:val="24"/>
        </w:rPr>
        <w:t xml:space="preserve">Not surprising, </w:t>
      </w:r>
      <w:r w:rsidR="005A2326">
        <w:rPr>
          <w:sz w:val="24"/>
          <w:szCs w:val="24"/>
        </w:rPr>
        <w:t xml:space="preserve">these </w:t>
      </w:r>
      <w:r w:rsidR="00E86888">
        <w:rPr>
          <w:sz w:val="24"/>
          <w:szCs w:val="24"/>
        </w:rPr>
        <w:t xml:space="preserve">results form because of the high negative correlation between the stock market factor and the credit risk factor during periods of crisis. </w:t>
      </w:r>
      <w:r w:rsidR="00AA274C">
        <w:rPr>
          <w:sz w:val="24"/>
          <w:szCs w:val="24"/>
        </w:rPr>
        <w:t xml:space="preserve">The correlation between CDS price changes and stock market returns for low risk countries is -25.5% on average during the subprime crisis period. This correlation reaches -57.5% on average for high risk countries during the first part of the sovereign debt crisis period.  </w:t>
      </w:r>
      <w:r w:rsidR="00E86888">
        <w:rPr>
          <w:sz w:val="24"/>
          <w:szCs w:val="24"/>
        </w:rPr>
        <w:t xml:space="preserve">These findings also reinforce the fact that the stock market is the dominant factor during the subprime crisis period whereas credit risk </w:t>
      </w:r>
      <w:r w:rsidR="00AA274C">
        <w:rPr>
          <w:sz w:val="24"/>
          <w:szCs w:val="24"/>
        </w:rPr>
        <w:t>takes the lead during the sovereign debt crisis.</w:t>
      </w:r>
      <w:r w:rsidR="00E86888">
        <w:rPr>
          <w:sz w:val="24"/>
          <w:szCs w:val="24"/>
        </w:rPr>
        <w:t xml:space="preserve">  </w:t>
      </w:r>
      <w:r w:rsidR="005A2326">
        <w:rPr>
          <w:sz w:val="24"/>
          <w:szCs w:val="24"/>
        </w:rPr>
        <w:t xml:space="preserve"> </w:t>
      </w:r>
    </w:p>
    <w:p w:rsidR="008F0B20" w:rsidRDefault="008F0B20" w:rsidP="00BE50DA">
      <w:pPr>
        <w:spacing w:line="360" w:lineRule="auto"/>
        <w:ind w:firstLine="360"/>
        <w:contextualSpacing/>
        <w:jc w:val="center"/>
        <w:rPr>
          <w:sz w:val="24"/>
          <w:szCs w:val="24"/>
        </w:rPr>
      </w:pPr>
    </w:p>
    <w:p w:rsidR="0027574E" w:rsidRPr="004B2AE6" w:rsidRDefault="008F0B20" w:rsidP="00BE50DA">
      <w:pPr>
        <w:spacing w:line="360" w:lineRule="auto"/>
        <w:ind w:firstLine="360"/>
        <w:contextualSpacing/>
        <w:jc w:val="center"/>
        <w:rPr>
          <w:sz w:val="24"/>
          <w:szCs w:val="24"/>
        </w:rPr>
      </w:pPr>
      <w:r w:rsidRPr="004B2AE6">
        <w:rPr>
          <w:sz w:val="24"/>
          <w:szCs w:val="24"/>
        </w:rPr>
        <w:lastRenderedPageBreak/>
        <w:t xml:space="preserve"> </w:t>
      </w:r>
      <w:r w:rsidR="002F5102" w:rsidRPr="004B2AE6">
        <w:rPr>
          <w:sz w:val="24"/>
          <w:szCs w:val="24"/>
        </w:rPr>
        <w:t>[TABLE V</w:t>
      </w:r>
      <w:r w:rsidR="00413EAF" w:rsidRPr="004B2AE6">
        <w:rPr>
          <w:sz w:val="24"/>
          <w:szCs w:val="24"/>
        </w:rPr>
        <w:t>I</w:t>
      </w:r>
      <w:r w:rsidR="0027574E" w:rsidRPr="004B2AE6">
        <w:rPr>
          <w:sz w:val="24"/>
          <w:szCs w:val="24"/>
        </w:rPr>
        <w:t xml:space="preserve"> around here]</w:t>
      </w:r>
    </w:p>
    <w:p w:rsidR="00754320" w:rsidRPr="00125819" w:rsidRDefault="00A72724" w:rsidP="00BE50DA">
      <w:pPr>
        <w:spacing w:line="360" w:lineRule="auto"/>
        <w:ind w:firstLine="357"/>
        <w:contextualSpacing/>
        <w:jc w:val="both"/>
        <w:rPr>
          <w:color w:val="7030A0"/>
          <w:sz w:val="24"/>
          <w:szCs w:val="24"/>
        </w:rPr>
      </w:pPr>
      <w:r w:rsidRPr="004B2AE6">
        <w:rPr>
          <w:sz w:val="24"/>
          <w:szCs w:val="24"/>
        </w:rPr>
        <w:t xml:space="preserve"> </w:t>
      </w:r>
      <w:r w:rsidR="003A4121" w:rsidRPr="004B2AE6">
        <w:rPr>
          <w:sz w:val="24"/>
          <w:szCs w:val="24"/>
        </w:rPr>
        <w:t xml:space="preserve">   </w:t>
      </w:r>
    </w:p>
    <w:p w:rsidR="00815854" w:rsidRPr="004B2AE6" w:rsidRDefault="00385934" w:rsidP="00BE50DA">
      <w:pPr>
        <w:pStyle w:val="Paragrafoelenco"/>
        <w:numPr>
          <w:ilvl w:val="1"/>
          <w:numId w:val="1"/>
        </w:numPr>
        <w:spacing w:line="360" w:lineRule="auto"/>
        <w:rPr>
          <w:sz w:val="24"/>
          <w:szCs w:val="24"/>
        </w:rPr>
      </w:pPr>
      <w:r w:rsidRPr="004B2AE6">
        <w:rPr>
          <w:sz w:val="24"/>
          <w:szCs w:val="24"/>
        </w:rPr>
        <w:t>Segmentation in the Euro-zone market</w:t>
      </w:r>
    </w:p>
    <w:p w:rsidR="00815ED2" w:rsidRPr="004B2AE6" w:rsidRDefault="000D2BBF" w:rsidP="00BE50DA">
      <w:pPr>
        <w:spacing w:line="360" w:lineRule="auto"/>
        <w:ind w:firstLine="360"/>
        <w:contextualSpacing/>
        <w:jc w:val="both"/>
        <w:rPr>
          <w:sz w:val="24"/>
          <w:szCs w:val="24"/>
        </w:rPr>
      </w:pPr>
      <w:r w:rsidRPr="004B2AE6">
        <w:rPr>
          <w:sz w:val="24"/>
          <w:szCs w:val="24"/>
        </w:rPr>
        <w:t>The</w:t>
      </w:r>
      <w:r w:rsidR="00066113" w:rsidRPr="004B2AE6">
        <w:rPr>
          <w:sz w:val="24"/>
          <w:szCs w:val="24"/>
        </w:rPr>
        <w:t xml:space="preserve"> evidence</w:t>
      </w:r>
      <w:r w:rsidRPr="004B2AE6">
        <w:rPr>
          <w:sz w:val="24"/>
          <w:szCs w:val="24"/>
        </w:rPr>
        <w:t xml:space="preserve"> from how bond returns relate to the stock </w:t>
      </w:r>
      <w:r w:rsidR="00C229F1">
        <w:rPr>
          <w:sz w:val="24"/>
          <w:szCs w:val="24"/>
        </w:rPr>
        <w:t xml:space="preserve">returns </w:t>
      </w:r>
      <w:r w:rsidR="009C7E80">
        <w:rPr>
          <w:sz w:val="24"/>
          <w:szCs w:val="24"/>
        </w:rPr>
        <w:t xml:space="preserve">and credit and liquidity risk factors </w:t>
      </w:r>
      <w:r w:rsidR="00C229F1">
        <w:rPr>
          <w:sz w:val="24"/>
          <w:szCs w:val="24"/>
        </w:rPr>
        <w:t xml:space="preserve">during suggests that </w:t>
      </w:r>
      <w:r w:rsidR="00066113" w:rsidRPr="004B2AE6">
        <w:rPr>
          <w:sz w:val="24"/>
          <w:szCs w:val="24"/>
        </w:rPr>
        <w:t>a clear segmentation between low and high risk countries</w:t>
      </w:r>
      <w:r w:rsidR="00C229F1">
        <w:rPr>
          <w:sz w:val="24"/>
          <w:szCs w:val="24"/>
        </w:rPr>
        <w:t xml:space="preserve"> has been brought about by the sovereign debt crisis</w:t>
      </w:r>
      <w:r w:rsidR="00066113" w:rsidRPr="004B2AE6">
        <w:rPr>
          <w:sz w:val="24"/>
          <w:szCs w:val="24"/>
        </w:rPr>
        <w:t xml:space="preserve">. </w:t>
      </w:r>
      <w:r w:rsidR="00C229F1">
        <w:rPr>
          <w:sz w:val="24"/>
          <w:szCs w:val="24"/>
        </w:rPr>
        <w:t xml:space="preserve">Here, we explore how such phenomenon may affect </w:t>
      </w:r>
      <w:r w:rsidR="009C7E80">
        <w:rPr>
          <w:sz w:val="24"/>
          <w:szCs w:val="24"/>
        </w:rPr>
        <w:t>investors with different risk appetite and asset allocation strategies and how the crises have altered diversification opportunities</w:t>
      </w:r>
      <w:r w:rsidRPr="004B2AE6">
        <w:rPr>
          <w:sz w:val="24"/>
          <w:szCs w:val="24"/>
        </w:rPr>
        <w:t>.</w:t>
      </w:r>
      <w:r w:rsidR="002777B8" w:rsidRPr="004B2AE6">
        <w:rPr>
          <w:sz w:val="24"/>
          <w:szCs w:val="24"/>
        </w:rPr>
        <w:t xml:space="preserve"> </w:t>
      </w:r>
      <w:r w:rsidR="009C7E80">
        <w:rPr>
          <w:sz w:val="24"/>
          <w:szCs w:val="24"/>
        </w:rPr>
        <w:t>To address these points w</w:t>
      </w:r>
      <w:r w:rsidR="002777B8" w:rsidRPr="004B2AE6">
        <w:rPr>
          <w:sz w:val="24"/>
          <w:szCs w:val="24"/>
        </w:rPr>
        <w:t xml:space="preserve">e build </w:t>
      </w:r>
      <w:r w:rsidR="00B67395">
        <w:rPr>
          <w:sz w:val="24"/>
          <w:szCs w:val="24"/>
        </w:rPr>
        <w:t>five</w:t>
      </w:r>
      <w:r w:rsidR="002777B8" w:rsidRPr="004B2AE6">
        <w:rPr>
          <w:sz w:val="24"/>
          <w:szCs w:val="24"/>
        </w:rPr>
        <w:t xml:space="preserve"> equally weighted asset portfolios </w:t>
      </w:r>
      <w:r w:rsidR="009C7E80">
        <w:rPr>
          <w:sz w:val="24"/>
          <w:szCs w:val="24"/>
        </w:rPr>
        <w:t xml:space="preserve">that differ </w:t>
      </w:r>
      <w:r w:rsidR="002777B8" w:rsidRPr="004B2AE6">
        <w:rPr>
          <w:sz w:val="24"/>
          <w:szCs w:val="24"/>
        </w:rPr>
        <w:t xml:space="preserve">by asset </w:t>
      </w:r>
      <w:r w:rsidR="009C7E80">
        <w:rPr>
          <w:sz w:val="24"/>
          <w:szCs w:val="24"/>
        </w:rPr>
        <w:t xml:space="preserve">composition </w:t>
      </w:r>
      <w:r w:rsidR="00CB0D70">
        <w:rPr>
          <w:sz w:val="24"/>
          <w:szCs w:val="24"/>
        </w:rPr>
        <w:t xml:space="preserve">(diversified as opposed to concentrated) </w:t>
      </w:r>
      <w:r w:rsidR="002777B8" w:rsidRPr="004B2AE6">
        <w:rPr>
          <w:sz w:val="24"/>
          <w:szCs w:val="24"/>
        </w:rPr>
        <w:t>and risk</w:t>
      </w:r>
      <w:r w:rsidR="009C7E80">
        <w:rPr>
          <w:sz w:val="24"/>
          <w:szCs w:val="24"/>
        </w:rPr>
        <w:t xml:space="preserve"> profile</w:t>
      </w:r>
      <w:r w:rsidR="00CB0D70">
        <w:rPr>
          <w:sz w:val="24"/>
          <w:szCs w:val="24"/>
        </w:rPr>
        <w:t xml:space="preserve"> (low or high risk)</w:t>
      </w:r>
      <w:r w:rsidR="002777B8" w:rsidRPr="004B2AE6">
        <w:rPr>
          <w:sz w:val="24"/>
          <w:szCs w:val="24"/>
        </w:rPr>
        <w:t>.</w:t>
      </w:r>
      <w:r w:rsidR="00CB0D70">
        <w:rPr>
          <w:sz w:val="24"/>
          <w:szCs w:val="24"/>
        </w:rPr>
        <w:t xml:space="preserve"> We consider only two asset classes, stocks and government bonds. </w:t>
      </w:r>
      <w:r w:rsidR="002777B8" w:rsidRPr="004B2AE6">
        <w:rPr>
          <w:sz w:val="24"/>
          <w:szCs w:val="24"/>
        </w:rPr>
        <w:t xml:space="preserve"> </w:t>
      </w:r>
      <w:r w:rsidR="00CB0D70">
        <w:rPr>
          <w:sz w:val="24"/>
          <w:szCs w:val="24"/>
        </w:rPr>
        <w:t>L</w:t>
      </w:r>
      <w:r w:rsidR="002777B8" w:rsidRPr="004B2AE6">
        <w:rPr>
          <w:sz w:val="24"/>
          <w:szCs w:val="24"/>
        </w:rPr>
        <w:t xml:space="preserve">ow risk </w:t>
      </w:r>
      <w:r w:rsidR="00CB0D70">
        <w:rPr>
          <w:sz w:val="24"/>
          <w:szCs w:val="24"/>
        </w:rPr>
        <w:t xml:space="preserve">assets are issued in low risk countries, namely </w:t>
      </w:r>
      <w:r w:rsidR="002777B8" w:rsidRPr="004B2AE6">
        <w:rPr>
          <w:sz w:val="24"/>
          <w:szCs w:val="24"/>
        </w:rPr>
        <w:t>Germany, Finland and Netherlands</w:t>
      </w:r>
      <w:r w:rsidR="00CB0D70">
        <w:rPr>
          <w:sz w:val="24"/>
          <w:szCs w:val="24"/>
        </w:rPr>
        <w:t xml:space="preserve">, while high risk assets are issued in </w:t>
      </w:r>
      <w:r w:rsidR="002777B8" w:rsidRPr="004B2AE6">
        <w:rPr>
          <w:sz w:val="24"/>
          <w:szCs w:val="24"/>
        </w:rPr>
        <w:t xml:space="preserve">Italy, Spain, Portugal, Ireland </w:t>
      </w:r>
      <w:r w:rsidR="00CB0D70">
        <w:rPr>
          <w:sz w:val="24"/>
          <w:szCs w:val="24"/>
        </w:rPr>
        <w:t xml:space="preserve">or </w:t>
      </w:r>
      <w:r w:rsidR="002777B8" w:rsidRPr="004B2AE6">
        <w:rPr>
          <w:sz w:val="24"/>
          <w:szCs w:val="24"/>
        </w:rPr>
        <w:t>Greece.</w:t>
      </w:r>
      <w:r w:rsidR="00CB0D70">
        <w:rPr>
          <w:sz w:val="24"/>
          <w:szCs w:val="24"/>
        </w:rPr>
        <w:t xml:space="preserve"> </w:t>
      </w:r>
      <w:r w:rsidR="00B67395">
        <w:rPr>
          <w:sz w:val="24"/>
          <w:szCs w:val="24"/>
        </w:rPr>
        <w:t xml:space="preserve">The portfolios are (1) </w:t>
      </w:r>
      <w:r w:rsidR="00482E58">
        <w:rPr>
          <w:sz w:val="24"/>
          <w:szCs w:val="24"/>
        </w:rPr>
        <w:t xml:space="preserve">a </w:t>
      </w:r>
      <w:r w:rsidR="00B67395">
        <w:rPr>
          <w:sz w:val="24"/>
          <w:szCs w:val="24"/>
        </w:rPr>
        <w:t>pure bond fund with equally weighted bond indices of low and high risk countries, (2) a pure equity fund with equally weighted equity indices of low and high risk countries,</w:t>
      </w:r>
      <w:r w:rsidRPr="004B2AE6">
        <w:rPr>
          <w:sz w:val="24"/>
          <w:szCs w:val="24"/>
        </w:rPr>
        <w:t xml:space="preserve"> </w:t>
      </w:r>
      <w:r w:rsidR="00B67395">
        <w:rPr>
          <w:sz w:val="24"/>
          <w:szCs w:val="24"/>
        </w:rPr>
        <w:t>(3) a diversified fund that includes all the above, (4) a pension fund which includes low risk stocks and bonds and (5) a hedge fund with positions in high risk stocks and bonds.</w:t>
      </w:r>
    </w:p>
    <w:p w:rsidR="00B67395" w:rsidRDefault="00815ED2" w:rsidP="00BE50DA">
      <w:pPr>
        <w:spacing w:line="360" w:lineRule="auto"/>
        <w:ind w:firstLine="360"/>
        <w:contextualSpacing/>
        <w:jc w:val="both"/>
        <w:rPr>
          <w:sz w:val="24"/>
          <w:szCs w:val="24"/>
        </w:rPr>
      </w:pPr>
      <w:r w:rsidRPr="004B2AE6">
        <w:rPr>
          <w:sz w:val="24"/>
          <w:szCs w:val="24"/>
        </w:rPr>
        <w:t xml:space="preserve">Table </w:t>
      </w:r>
      <w:r w:rsidR="00804DAA">
        <w:rPr>
          <w:sz w:val="24"/>
          <w:szCs w:val="24"/>
        </w:rPr>
        <w:t>VII</w:t>
      </w:r>
      <w:r w:rsidR="00380C4E" w:rsidRPr="004B2AE6">
        <w:rPr>
          <w:sz w:val="24"/>
          <w:szCs w:val="24"/>
        </w:rPr>
        <w:t xml:space="preserve"> presents the descriptive statistics and correlations between the assets </w:t>
      </w:r>
      <w:r w:rsidR="00B67395">
        <w:rPr>
          <w:sz w:val="24"/>
          <w:szCs w:val="24"/>
        </w:rPr>
        <w:t xml:space="preserve">classes </w:t>
      </w:r>
      <w:r w:rsidR="00380C4E" w:rsidRPr="004B2AE6">
        <w:rPr>
          <w:sz w:val="24"/>
          <w:szCs w:val="24"/>
        </w:rPr>
        <w:t xml:space="preserve">in each time period. As </w:t>
      </w:r>
      <w:r w:rsidR="00F5058F">
        <w:rPr>
          <w:sz w:val="24"/>
          <w:szCs w:val="24"/>
        </w:rPr>
        <w:t>one would expect</w:t>
      </w:r>
      <w:r w:rsidR="00380C4E" w:rsidRPr="004B2AE6">
        <w:rPr>
          <w:sz w:val="24"/>
          <w:szCs w:val="24"/>
        </w:rPr>
        <w:t xml:space="preserve">, </w:t>
      </w:r>
      <w:r w:rsidR="00F5058F">
        <w:rPr>
          <w:sz w:val="24"/>
          <w:szCs w:val="24"/>
        </w:rPr>
        <w:t xml:space="preserve">correlations between the high risk and low risk stocks is high throughout the sample period with its peak during the subprime crisis at 91%. On the other hand, while the high and low risk bond portfolios also exhibit high correlation in the pre-crisis and subprime period (99.5% and 87.9% respectively), </w:t>
      </w:r>
      <w:r w:rsidR="00482E58">
        <w:rPr>
          <w:sz w:val="24"/>
          <w:szCs w:val="24"/>
        </w:rPr>
        <w:t>correlation</w:t>
      </w:r>
      <w:r w:rsidR="00F5058F">
        <w:rPr>
          <w:sz w:val="24"/>
          <w:szCs w:val="24"/>
        </w:rPr>
        <w:t xml:space="preserve"> drops dramatically and even turns negative </w:t>
      </w:r>
      <w:r w:rsidR="000A4228">
        <w:rPr>
          <w:sz w:val="24"/>
          <w:szCs w:val="24"/>
        </w:rPr>
        <w:t xml:space="preserve">during the two sovereign crisis intervals at -16% and -0.7% respectively. </w:t>
      </w:r>
      <w:r w:rsidR="00E557A5">
        <w:rPr>
          <w:sz w:val="24"/>
          <w:szCs w:val="24"/>
        </w:rPr>
        <w:t xml:space="preserve">Moreover, the volatility of bonds in the high risk countries in the second interval reaches levels that are higher than those experienced in the equity markets. </w:t>
      </w:r>
      <w:r w:rsidR="000A4228">
        <w:rPr>
          <w:sz w:val="24"/>
          <w:szCs w:val="24"/>
        </w:rPr>
        <w:t xml:space="preserve">This is further evidence of </w:t>
      </w:r>
      <w:r w:rsidR="000B7A39">
        <w:rPr>
          <w:sz w:val="24"/>
          <w:szCs w:val="24"/>
        </w:rPr>
        <w:t xml:space="preserve">strong </w:t>
      </w:r>
      <w:r w:rsidR="000A4228">
        <w:rPr>
          <w:sz w:val="24"/>
          <w:szCs w:val="24"/>
        </w:rPr>
        <w:t xml:space="preserve">segmentation in the bond market triggered by the </w:t>
      </w:r>
      <w:r w:rsidR="000B7A39">
        <w:rPr>
          <w:sz w:val="24"/>
          <w:szCs w:val="24"/>
        </w:rPr>
        <w:t>sovereign crisis</w:t>
      </w:r>
      <w:r w:rsidR="000A4228">
        <w:rPr>
          <w:sz w:val="24"/>
          <w:szCs w:val="24"/>
        </w:rPr>
        <w:t xml:space="preserve">. </w:t>
      </w:r>
      <w:r w:rsidR="00482E58">
        <w:rPr>
          <w:sz w:val="24"/>
          <w:szCs w:val="24"/>
        </w:rPr>
        <w:t xml:space="preserve">The findings in Table </w:t>
      </w:r>
      <w:r w:rsidR="00804DAA">
        <w:rPr>
          <w:sz w:val="24"/>
          <w:szCs w:val="24"/>
        </w:rPr>
        <w:t>VII</w:t>
      </w:r>
      <w:r w:rsidR="00482E58">
        <w:rPr>
          <w:sz w:val="24"/>
          <w:szCs w:val="24"/>
        </w:rPr>
        <w:t xml:space="preserve"> also enable us to elaborate further on the </w:t>
      </w:r>
      <w:r w:rsidR="000B7A39">
        <w:rPr>
          <w:sz w:val="24"/>
          <w:szCs w:val="24"/>
        </w:rPr>
        <w:t xml:space="preserve">stock-bond </w:t>
      </w:r>
      <w:r w:rsidR="00482E58">
        <w:rPr>
          <w:sz w:val="24"/>
          <w:szCs w:val="24"/>
        </w:rPr>
        <w:t xml:space="preserve">correlations </w:t>
      </w:r>
      <w:r w:rsidR="000B7A39">
        <w:rPr>
          <w:sz w:val="24"/>
          <w:szCs w:val="24"/>
        </w:rPr>
        <w:t xml:space="preserve">shown in Table </w:t>
      </w:r>
      <w:r w:rsidR="00804DAA">
        <w:rPr>
          <w:sz w:val="24"/>
          <w:szCs w:val="24"/>
        </w:rPr>
        <w:t>I</w:t>
      </w:r>
      <w:r w:rsidR="000B7A39">
        <w:rPr>
          <w:sz w:val="24"/>
          <w:szCs w:val="24"/>
        </w:rPr>
        <w:t>. We can see that government bonds in high risk countries become equity-like during the sovereign crisis, in that they co-move with stocks in both low risk and high risk countries</w:t>
      </w:r>
      <w:r w:rsidR="00E557A5">
        <w:rPr>
          <w:sz w:val="24"/>
          <w:szCs w:val="24"/>
        </w:rPr>
        <w:t xml:space="preserve"> and exhibit abnormally high volatility</w:t>
      </w:r>
      <w:r w:rsidR="000B7A39">
        <w:rPr>
          <w:sz w:val="24"/>
          <w:szCs w:val="24"/>
        </w:rPr>
        <w:t xml:space="preserve">. </w:t>
      </w:r>
    </w:p>
    <w:p w:rsidR="00BF4498" w:rsidRPr="00BE50DA" w:rsidRDefault="002777B8" w:rsidP="00BE50DA">
      <w:pPr>
        <w:spacing w:line="360" w:lineRule="auto"/>
        <w:ind w:firstLine="360"/>
        <w:contextualSpacing/>
        <w:jc w:val="both"/>
        <w:rPr>
          <w:rFonts w:ascii="Calibri" w:hAnsi="Calibri"/>
          <w:sz w:val="24"/>
          <w:szCs w:val="24"/>
        </w:rPr>
      </w:pPr>
      <w:r w:rsidRPr="004B2AE6">
        <w:rPr>
          <w:sz w:val="24"/>
          <w:szCs w:val="24"/>
        </w:rPr>
        <w:lastRenderedPageBreak/>
        <w:t xml:space="preserve">Clearly, this sharp change in correlation dynamics of the high risk bond portfolio has major implications for fund managers in how they manage risk. </w:t>
      </w:r>
      <w:r w:rsidR="0046002E" w:rsidRPr="004B2AE6">
        <w:rPr>
          <w:sz w:val="24"/>
          <w:szCs w:val="24"/>
        </w:rPr>
        <w:t xml:space="preserve">A simple exercise is to determine whether there are any </w:t>
      </w:r>
      <w:r w:rsidR="000B7A39">
        <w:rPr>
          <w:sz w:val="24"/>
          <w:szCs w:val="24"/>
        </w:rPr>
        <w:t>volatility and value-at-risk reductions</w:t>
      </w:r>
      <w:r w:rsidR="000B7A39" w:rsidRPr="004B2AE6">
        <w:rPr>
          <w:sz w:val="24"/>
          <w:szCs w:val="24"/>
        </w:rPr>
        <w:t xml:space="preserve"> </w:t>
      </w:r>
      <w:r w:rsidR="0046002E" w:rsidRPr="004B2AE6">
        <w:rPr>
          <w:sz w:val="24"/>
          <w:szCs w:val="24"/>
        </w:rPr>
        <w:t xml:space="preserve">when investing in any of the </w:t>
      </w:r>
      <w:r w:rsidR="000B7A39">
        <w:rPr>
          <w:sz w:val="24"/>
          <w:szCs w:val="24"/>
        </w:rPr>
        <w:t xml:space="preserve">five portfolios </w:t>
      </w:r>
      <w:r w:rsidR="0046002E" w:rsidRPr="004B2AE6">
        <w:rPr>
          <w:sz w:val="24"/>
          <w:szCs w:val="24"/>
        </w:rPr>
        <w:t xml:space="preserve">mentioned above as compared to the average </w:t>
      </w:r>
      <w:r w:rsidR="000B7A39">
        <w:rPr>
          <w:sz w:val="24"/>
          <w:szCs w:val="24"/>
        </w:rPr>
        <w:t xml:space="preserve">volatility and value-at-risk </w:t>
      </w:r>
      <w:r w:rsidR="0046002E" w:rsidRPr="004B2AE6">
        <w:rPr>
          <w:sz w:val="24"/>
          <w:szCs w:val="24"/>
        </w:rPr>
        <w:t xml:space="preserve">of their </w:t>
      </w:r>
      <w:r w:rsidR="00804DAA">
        <w:rPr>
          <w:sz w:val="24"/>
          <w:szCs w:val="24"/>
        </w:rPr>
        <w:t>constituent assets</w:t>
      </w:r>
      <w:r w:rsidR="0046002E" w:rsidRPr="004B2AE6">
        <w:rPr>
          <w:sz w:val="24"/>
          <w:szCs w:val="24"/>
        </w:rPr>
        <w:t>.</w:t>
      </w:r>
      <w:r w:rsidR="007A6D54" w:rsidRPr="004B2AE6">
        <w:rPr>
          <w:sz w:val="24"/>
          <w:szCs w:val="24"/>
        </w:rPr>
        <w:t xml:space="preserve"> </w:t>
      </w:r>
      <w:r w:rsidR="00D6492F" w:rsidRPr="004B2AE6">
        <w:rPr>
          <w:sz w:val="24"/>
          <w:szCs w:val="24"/>
        </w:rPr>
        <w:t xml:space="preserve">Table </w:t>
      </w:r>
      <w:r w:rsidR="00804DAA">
        <w:rPr>
          <w:sz w:val="24"/>
          <w:szCs w:val="24"/>
        </w:rPr>
        <w:t>VIII</w:t>
      </w:r>
      <w:r w:rsidR="00D6492F" w:rsidRPr="004B2AE6">
        <w:rPr>
          <w:sz w:val="24"/>
          <w:szCs w:val="24"/>
        </w:rPr>
        <w:t xml:space="preserve"> presents these results</w:t>
      </w:r>
      <w:r w:rsidR="00804DAA">
        <w:rPr>
          <w:sz w:val="24"/>
          <w:szCs w:val="24"/>
        </w:rPr>
        <w:t xml:space="preserve"> (where reductions are shown with a positive sign)</w:t>
      </w:r>
      <w:r w:rsidR="00D6492F" w:rsidRPr="004B2AE6">
        <w:rPr>
          <w:sz w:val="24"/>
          <w:szCs w:val="24"/>
        </w:rPr>
        <w:t xml:space="preserve">. </w:t>
      </w:r>
      <w:r w:rsidR="00D66668" w:rsidRPr="004B2AE6">
        <w:rPr>
          <w:sz w:val="24"/>
          <w:szCs w:val="24"/>
        </w:rPr>
        <w:t>T</w:t>
      </w:r>
      <w:r w:rsidR="00D6492F" w:rsidRPr="004B2AE6">
        <w:rPr>
          <w:sz w:val="24"/>
          <w:szCs w:val="24"/>
        </w:rPr>
        <w:t xml:space="preserve">here are very little </w:t>
      </w:r>
      <w:r w:rsidR="007C057F">
        <w:rPr>
          <w:sz w:val="24"/>
          <w:szCs w:val="24"/>
        </w:rPr>
        <w:t xml:space="preserve">diversification </w:t>
      </w:r>
      <w:r w:rsidR="00D6492F" w:rsidRPr="004B2AE6">
        <w:rPr>
          <w:sz w:val="24"/>
          <w:szCs w:val="24"/>
        </w:rPr>
        <w:t>gains for the pure equity portfolio during all time periods</w:t>
      </w:r>
      <w:r w:rsidR="00A7167C" w:rsidRPr="004B2AE6">
        <w:rPr>
          <w:sz w:val="24"/>
          <w:szCs w:val="24"/>
        </w:rPr>
        <w:t xml:space="preserve"> for both volatilities and 99% value-at-risk </w:t>
      </w:r>
      <w:r w:rsidR="00D6492F" w:rsidRPr="004B2AE6">
        <w:rPr>
          <w:sz w:val="24"/>
          <w:szCs w:val="24"/>
        </w:rPr>
        <w:t>since</w:t>
      </w:r>
      <w:r w:rsidR="007C057F">
        <w:rPr>
          <w:sz w:val="24"/>
          <w:szCs w:val="24"/>
        </w:rPr>
        <w:t>, as shown in Table VII,</w:t>
      </w:r>
      <w:r w:rsidR="00D6492F" w:rsidRPr="004B2AE6">
        <w:rPr>
          <w:sz w:val="24"/>
          <w:szCs w:val="24"/>
        </w:rPr>
        <w:t xml:space="preserve"> </w:t>
      </w:r>
      <w:r w:rsidR="00D6492F" w:rsidRPr="00BE50DA">
        <w:rPr>
          <w:rFonts w:ascii="Calibri" w:hAnsi="Calibri"/>
          <w:sz w:val="24"/>
          <w:szCs w:val="24"/>
        </w:rPr>
        <w:t>the Euro-zone stock markets are very highly correlated.</w:t>
      </w:r>
      <w:r w:rsidR="00A93F3B" w:rsidRPr="00BE50DA">
        <w:rPr>
          <w:rFonts w:ascii="Calibri" w:hAnsi="Calibri"/>
          <w:sz w:val="24"/>
          <w:szCs w:val="24"/>
        </w:rPr>
        <w:t xml:space="preserve"> </w:t>
      </w:r>
      <w:r w:rsidR="00E557A5" w:rsidRPr="00BE50DA">
        <w:rPr>
          <w:rFonts w:ascii="Calibri" w:hAnsi="Calibri"/>
          <w:sz w:val="24"/>
          <w:szCs w:val="24"/>
        </w:rPr>
        <w:t>Relative to the pre-crisis period the largest diversification benefits</w:t>
      </w:r>
      <w:r w:rsidR="00491A7F" w:rsidRPr="00BE50DA">
        <w:rPr>
          <w:rFonts w:ascii="Calibri" w:hAnsi="Calibri"/>
          <w:sz w:val="24"/>
          <w:szCs w:val="24"/>
        </w:rPr>
        <w:t xml:space="preserve"> based on volatility reductions in the sovereign crisis are reaped by a low risk strategy (i.e. the  pension fund) and, more markedly, </w:t>
      </w:r>
      <w:r w:rsidR="00BD452A" w:rsidRPr="00BE50DA">
        <w:rPr>
          <w:rFonts w:ascii="Calibri" w:hAnsi="Calibri"/>
          <w:sz w:val="24"/>
          <w:szCs w:val="24"/>
        </w:rPr>
        <w:t xml:space="preserve">by </w:t>
      </w:r>
      <w:r w:rsidR="00491A7F" w:rsidRPr="00BE50DA">
        <w:rPr>
          <w:rFonts w:ascii="Calibri" w:hAnsi="Calibri"/>
          <w:sz w:val="24"/>
          <w:szCs w:val="24"/>
        </w:rPr>
        <w:t>the pure bond fund which gains specifically because of segmentation effects (with increment</w:t>
      </w:r>
      <w:r w:rsidR="00BD452A" w:rsidRPr="00BE50DA">
        <w:rPr>
          <w:rFonts w:ascii="Calibri" w:hAnsi="Calibri"/>
          <w:sz w:val="24"/>
          <w:szCs w:val="24"/>
        </w:rPr>
        <w:t>al diversification benefits</w:t>
      </w:r>
      <w:r w:rsidR="00491A7F" w:rsidRPr="00BE50DA">
        <w:rPr>
          <w:rFonts w:ascii="Calibri" w:hAnsi="Calibri"/>
          <w:sz w:val="24"/>
          <w:szCs w:val="24"/>
        </w:rPr>
        <w:t xml:space="preserve"> of </w:t>
      </w:r>
      <w:r w:rsidR="00BD452A" w:rsidRPr="00BE50DA">
        <w:rPr>
          <w:rFonts w:ascii="Calibri" w:hAnsi="Calibri"/>
          <w:sz w:val="24"/>
          <w:szCs w:val="24"/>
        </w:rPr>
        <w:t>25.9% and 14.8% in the two sovereign crisis sub-intervals)</w:t>
      </w:r>
      <w:r w:rsidR="00491A7F" w:rsidRPr="00BE50DA">
        <w:rPr>
          <w:rFonts w:ascii="Calibri" w:hAnsi="Calibri"/>
          <w:sz w:val="24"/>
          <w:szCs w:val="24"/>
        </w:rPr>
        <w:t xml:space="preserve"> </w:t>
      </w:r>
      <w:r w:rsidR="00BD452A" w:rsidRPr="00BE50DA">
        <w:rPr>
          <w:rFonts w:ascii="Calibri" w:hAnsi="Calibri"/>
          <w:sz w:val="24"/>
          <w:szCs w:val="24"/>
        </w:rPr>
        <w:t xml:space="preserve">.  The value-at-risk results broadly confirm the above with the addition that the diversified fund also has a substantial incremental gain from the pre-crisis period in the second phase of the sovereign crisis (11%). </w:t>
      </w:r>
    </w:p>
    <w:p w:rsidR="006131DA" w:rsidRPr="00067117" w:rsidRDefault="00C904EF" w:rsidP="00067117">
      <w:pPr>
        <w:pStyle w:val="Default"/>
        <w:spacing w:line="360" w:lineRule="auto"/>
        <w:contextualSpacing/>
        <w:jc w:val="both"/>
        <w:rPr>
          <w:rFonts w:ascii="Calibri" w:hAnsi="Calibri"/>
          <w:color w:val="auto"/>
        </w:rPr>
      </w:pPr>
      <w:r>
        <w:rPr>
          <w:rFonts w:ascii="Calibri" w:hAnsi="Calibri"/>
        </w:rPr>
        <w:tab/>
      </w:r>
      <w:r w:rsidR="00067117" w:rsidRPr="00067117">
        <w:rPr>
          <w:rFonts w:ascii="Calibri" w:hAnsi="Calibri"/>
          <w:color w:val="auto"/>
        </w:rPr>
        <w:t>T</w:t>
      </w:r>
      <w:r w:rsidRPr="00067117">
        <w:rPr>
          <w:rFonts w:ascii="Calibri" w:hAnsi="Calibri"/>
          <w:color w:val="auto"/>
        </w:rPr>
        <w:t xml:space="preserve">he above results </w:t>
      </w:r>
      <w:r w:rsidR="004907CF" w:rsidRPr="00067117">
        <w:rPr>
          <w:rFonts w:ascii="Calibri" w:hAnsi="Calibri"/>
          <w:color w:val="auto"/>
        </w:rPr>
        <w:t>reveal that a debt crisis</w:t>
      </w:r>
      <w:r w:rsidR="005D2AB7" w:rsidRPr="00067117">
        <w:rPr>
          <w:rFonts w:ascii="Calibri" w:hAnsi="Calibri"/>
          <w:color w:val="auto"/>
        </w:rPr>
        <w:t xml:space="preserve"> in a developed</w:t>
      </w:r>
      <w:r w:rsidR="004907CF" w:rsidRPr="00067117">
        <w:rPr>
          <w:rFonts w:ascii="Calibri" w:hAnsi="Calibri"/>
          <w:color w:val="auto"/>
        </w:rPr>
        <w:t xml:space="preserve"> </w:t>
      </w:r>
      <w:r w:rsidR="005D2AB7" w:rsidRPr="00067117">
        <w:rPr>
          <w:rFonts w:ascii="Calibri" w:hAnsi="Calibri"/>
          <w:color w:val="auto"/>
        </w:rPr>
        <w:t xml:space="preserve">country </w:t>
      </w:r>
      <w:r w:rsidR="004907CF" w:rsidRPr="00067117">
        <w:rPr>
          <w:rFonts w:ascii="Calibri" w:hAnsi="Calibri"/>
          <w:color w:val="auto"/>
        </w:rPr>
        <w:t xml:space="preserve">has major implications on the market dynamics of its government bond prices. These are now risky investments </w:t>
      </w:r>
      <w:r w:rsidR="005D2AB7" w:rsidRPr="00067117">
        <w:rPr>
          <w:rFonts w:ascii="Calibri" w:hAnsi="Calibri"/>
          <w:color w:val="auto"/>
        </w:rPr>
        <w:t xml:space="preserve">which behave differently than in normal economic conditions. This goes against the </w:t>
      </w:r>
      <w:r w:rsidR="00095025" w:rsidRPr="00067117">
        <w:rPr>
          <w:rFonts w:ascii="Calibri" w:hAnsi="Calibri"/>
          <w:color w:val="auto"/>
        </w:rPr>
        <w:t>concept</w:t>
      </w:r>
      <w:r w:rsidR="005D2AB7" w:rsidRPr="00067117">
        <w:rPr>
          <w:rFonts w:ascii="Calibri" w:hAnsi="Calibri"/>
          <w:color w:val="auto"/>
        </w:rPr>
        <w:t xml:space="preserve"> of market integration that main global economies have experienced until now.</w:t>
      </w:r>
      <w:r w:rsidR="00095025" w:rsidRPr="00067117">
        <w:rPr>
          <w:rFonts w:ascii="Calibri" w:hAnsi="Calibri"/>
          <w:color w:val="auto"/>
        </w:rPr>
        <w:t xml:space="preserve"> Cappiello et al. (2006) and Kim et al. (2006) show that</w:t>
      </w:r>
      <w:r w:rsidR="005513BF" w:rsidRPr="00067117">
        <w:rPr>
          <w:rFonts w:ascii="Calibri" w:hAnsi="Calibri"/>
          <w:color w:val="auto"/>
        </w:rPr>
        <w:t xml:space="preserve"> </w:t>
      </w:r>
      <w:r w:rsidR="00E404E7" w:rsidRPr="00067117">
        <w:rPr>
          <w:rFonts w:ascii="Calibri" w:hAnsi="Calibri"/>
          <w:color w:val="auto"/>
        </w:rPr>
        <w:t xml:space="preserve">international stock and bond markets </w:t>
      </w:r>
      <w:r w:rsidR="005513BF" w:rsidRPr="00067117">
        <w:rPr>
          <w:rFonts w:ascii="Calibri" w:hAnsi="Calibri"/>
          <w:color w:val="auto"/>
        </w:rPr>
        <w:t>co-move more strongly</w:t>
      </w:r>
      <w:r w:rsidR="00E404E7" w:rsidRPr="00067117">
        <w:rPr>
          <w:rFonts w:ascii="Calibri" w:hAnsi="Calibri"/>
          <w:color w:val="auto"/>
        </w:rPr>
        <w:t xml:space="preserve"> with EMU markets following the introduction of the Euro. They also show that </w:t>
      </w:r>
      <w:r w:rsidR="005513BF" w:rsidRPr="00067117">
        <w:rPr>
          <w:rFonts w:ascii="Calibri" w:hAnsi="Calibri"/>
          <w:color w:val="auto"/>
        </w:rPr>
        <w:t>Euro-zone sovereign bond and stock returns have experienced very high levels of correlation</w:t>
      </w:r>
      <w:r w:rsidR="00E404E7" w:rsidRPr="00067117">
        <w:rPr>
          <w:rFonts w:ascii="Calibri" w:hAnsi="Calibri"/>
          <w:color w:val="auto"/>
        </w:rPr>
        <w:t xml:space="preserve"> within the same market</w:t>
      </w:r>
      <w:r w:rsidR="002C3BB4" w:rsidRPr="00067117">
        <w:rPr>
          <w:rFonts w:ascii="Calibri" w:hAnsi="Calibri"/>
          <w:color w:val="auto"/>
        </w:rPr>
        <w:t>. The European sovereign debt crisis starting in 2010 has introduced a clear</w:t>
      </w:r>
      <w:r w:rsidR="00884697" w:rsidRPr="00067117">
        <w:rPr>
          <w:rFonts w:ascii="Calibri" w:hAnsi="Calibri"/>
          <w:color w:val="auto"/>
        </w:rPr>
        <w:t xml:space="preserve"> shift</w:t>
      </w:r>
      <w:r w:rsidR="002C3BB4" w:rsidRPr="00067117">
        <w:rPr>
          <w:rFonts w:ascii="Calibri" w:hAnsi="Calibri"/>
          <w:color w:val="auto"/>
        </w:rPr>
        <w:t xml:space="preserve"> between Euro-zone countries with respect to </w:t>
      </w:r>
      <w:r w:rsidR="002E0A79" w:rsidRPr="00067117">
        <w:rPr>
          <w:rFonts w:ascii="Calibri" w:hAnsi="Calibri"/>
          <w:color w:val="auto"/>
        </w:rPr>
        <w:t>movement</w:t>
      </w:r>
      <w:r w:rsidR="00935ED8" w:rsidRPr="00067117">
        <w:rPr>
          <w:rFonts w:ascii="Calibri" w:hAnsi="Calibri"/>
          <w:color w:val="auto"/>
        </w:rPr>
        <w:t xml:space="preserve"> of </w:t>
      </w:r>
      <w:r w:rsidR="00884697" w:rsidRPr="00067117">
        <w:rPr>
          <w:rFonts w:ascii="Calibri" w:hAnsi="Calibri"/>
          <w:color w:val="auto"/>
        </w:rPr>
        <w:t xml:space="preserve">government </w:t>
      </w:r>
      <w:r w:rsidR="002C3BB4" w:rsidRPr="00067117">
        <w:rPr>
          <w:rFonts w:ascii="Calibri" w:hAnsi="Calibri"/>
          <w:color w:val="auto"/>
        </w:rPr>
        <w:t>bond returns</w:t>
      </w:r>
      <w:r w:rsidR="00884697" w:rsidRPr="00067117">
        <w:rPr>
          <w:rFonts w:ascii="Calibri" w:hAnsi="Calibri"/>
          <w:color w:val="auto"/>
        </w:rPr>
        <w:t>.</w:t>
      </w:r>
      <w:r w:rsidR="002E0A79" w:rsidRPr="00067117">
        <w:rPr>
          <w:rFonts w:ascii="Calibri" w:hAnsi="Calibri"/>
          <w:color w:val="auto"/>
        </w:rPr>
        <w:t xml:space="preserve"> Although correlation might be an imperfect measure to express market integration as argued by Pukthuanthong and Roll (2009), a change in </w:t>
      </w:r>
      <w:r w:rsidR="00206F45">
        <w:rPr>
          <w:rFonts w:ascii="Calibri" w:hAnsi="Calibri"/>
          <w:color w:val="auto"/>
        </w:rPr>
        <w:t xml:space="preserve">government </w:t>
      </w:r>
      <w:r w:rsidR="002E0A79" w:rsidRPr="00067117">
        <w:rPr>
          <w:rFonts w:ascii="Calibri" w:hAnsi="Calibri"/>
          <w:color w:val="auto"/>
        </w:rPr>
        <w:t>bond</w:t>
      </w:r>
      <w:r w:rsidR="00206F45">
        <w:rPr>
          <w:rFonts w:ascii="Calibri" w:hAnsi="Calibri"/>
          <w:color w:val="auto"/>
        </w:rPr>
        <w:t xml:space="preserve"> - stock</w:t>
      </w:r>
      <w:r w:rsidR="002E0A79" w:rsidRPr="00067117">
        <w:rPr>
          <w:rFonts w:ascii="Calibri" w:hAnsi="Calibri"/>
          <w:color w:val="auto"/>
        </w:rPr>
        <w:t xml:space="preserve"> return correlation from highly positive into negative territory </w:t>
      </w:r>
      <w:r w:rsidR="006B7CFD" w:rsidRPr="00067117">
        <w:rPr>
          <w:rFonts w:ascii="Calibri" w:hAnsi="Calibri"/>
          <w:color w:val="auto"/>
        </w:rPr>
        <w:t>is a clear sign of segmentation</w:t>
      </w:r>
      <w:r w:rsidR="002E0A79" w:rsidRPr="00067117">
        <w:rPr>
          <w:rFonts w:ascii="Calibri" w:hAnsi="Calibri"/>
          <w:color w:val="auto"/>
        </w:rPr>
        <w:t xml:space="preserve"> between pe</w:t>
      </w:r>
      <w:r w:rsidR="00206F45">
        <w:rPr>
          <w:rFonts w:ascii="Calibri" w:hAnsi="Calibri"/>
          <w:color w:val="auto"/>
        </w:rPr>
        <w:t>ripheral Euro-zone countries and</w:t>
      </w:r>
      <w:r w:rsidR="002E0A79" w:rsidRPr="00067117">
        <w:rPr>
          <w:rFonts w:ascii="Calibri" w:hAnsi="Calibri"/>
          <w:color w:val="auto"/>
        </w:rPr>
        <w:t xml:space="preserve"> the rest of the EMU</w:t>
      </w:r>
      <w:r w:rsidR="006B7CFD" w:rsidRPr="00067117">
        <w:rPr>
          <w:rFonts w:ascii="Calibri" w:hAnsi="Calibri"/>
          <w:color w:val="auto"/>
        </w:rPr>
        <w:t>. Thus, our analysis complements the literature regarding diversification gains in less integrated markets.</w:t>
      </w:r>
      <w:r w:rsidR="002E0A79" w:rsidRPr="00067117">
        <w:rPr>
          <w:rFonts w:ascii="Calibri" w:hAnsi="Calibri"/>
          <w:color w:val="auto"/>
        </w:rPr>
        <w:t xml:space="preserve"> Berger et al. (2011</w:t>
      </w:r>
      <w:r w:rsidR="00C43915" w:rsidRPr="00067117">
        <w:rPr>
          <w:rFonts w:ascii="Calibri" w:hAnsi="Calibri"/>
          <w:color w:val="auto"/>
        </w:rPr>
        <w:t xml:space="preserve">) and Piljak (2013), for example, document strong diversification </w:t>
      </w:r>
      <w:r w:rsidR="00C43915" w:rsidRPr="00067117">
        <w:rPr>
          <w:rFonts w:ascii="Calibri" w:hAnsi="Calibri"/>
          <w:color w:val="auto"/>
        </w:rPr>
        <w:lastRenderedPageBreak/>
        <w:t>effects in emerging and frontier markets</w:t>
      </w:r>
      <w:r w:rsidR="00850E4E" w:rsidRPr="00067117">
        <w:rPr>
          <w:rFonts w:ascii="Calibri" w:hAnsi="Calibri"/>
          <w:color w:val="auto"/>
        </w:rPr>
        <w:t>.</w:t>
      </w:r>
      <w:r w:rsidR="00CF7BAD" w:rsidRPr="00067117">
        <w:rPr>
          <w:rFonts w:ascii="Calibri" w:hAnsi="Calibri"/>
          <w:color w:val="auto"/>
        </w:rPr>
        <w:t xml:space="preserve"> </w:t>
      </w:r>
      <w:r w:rsidR="00850E4E" w:rsidRPr="00067117">
        <w:rPr>
          <w:rFonts w:ascii="Calibri" w:hAnsi="Calibri"/>
          <w:color w:val="auto"/>
        </w:rPr>
        <w:t>Regarding Europe, i</w:t>
      </w:r>
      <w:r w:rsidR="006131DA" w:rsidRPr="00067117">
        <w:rPr>
          <w:rFonts w:ascii="Calibri" w:hAnsi="Calibri"/>
          <w:color w:val="auto"/>
        </w:rPr>
        <w:t>t remains to be seen whether this segmentation effect between Euro-zone countries is temporary or permanent.</w:t>
      </w:r>
    </w:p>
    <w:p w:rsidR="007906C8" w:rsidRPr="00BE50DA" w:rsidRDefault="006131DA" w:rsidP="00067117">
      <w:pPr>
        <w:pStyle w:val="Default"/>
        <w:spacing w:line="360" w:lineRule="auto"/>
        <w:contextualSpacing/>
        <w:jc w:val="both"/>
        <w:rPr>
          <w:rFonts w:ascii="Calibri" w:hAnsi="Calibri" w:cs="TTdcr10"/>
          <w:color w:val="auto"/>
        </w:rPr>
      </w:pPr>
      <w:r>
        <w:rPr>
          <w:rFonts w:ascii="Calibri" w:hAnsi="Calibri"/>
          <w:color w:val="7030A0"/>
        </w:rPr>
        <w:t xml:space="preserve"> </w:t>
      </w:r>
      <w:r w:rsidR="00884697">
        <w:rPr>
          <w:rFonts w:ascii="Calibri" w:hAnsi="Calibri"/>
          <w:color w:val="7030A0"/>
        </w:rPr>
        <w:t xml:space="preserve"> </w:t>
      </w:r>
      <w:r w:rsidR="002C3BB4">
        <w:rPr>
          <w:rFonts w:ascii="Calibri" w:hAnsi="Calibri"/>
          <w:color w:val="7030A0"/>
        </w:rPr>
        <w:t xml:space="preserve">  </w:t>
      </w:r>
      <w:r w:rsidR="005513BF" w:rsidRPr="00E404E7">
        <w:rPr>
          <w:rFonts w:ascii="Calibri" w:hAnsi="Calibri"/>
          <w:color w:val="984806" w:themeColor="accent6" w:themeShade="80"/>
        </w:rPr>
        <w:t xml:space="preserve">    </w:t>
      </w:r>
    </w:p>
    <w:p w:rsidR="00560F64" w:rsidRPr="00BE50DA" w:rsidRDefault="005A6160" w:rsidP="00BE50DA">
      <w:pPr>
        <w:pStyle w:val="Paragrafoelenco"/>
        <w:numPr>
          <w:ilvl w:val="0"/>
          <w:numId w:val="1"/>
        </w:numPr>
        <w:spacing w:line="360" w:lineRule="auto"/>
        <w:jc w:val="both"/>
        <w:rPr>
          <w:rFonts w:ascii="Calibri" w:hAnsi="Calibri"/>
          <w:sz w:val="24"/>
          <w:szCs w:val="24"/>
        </w:rPr>
      </w:pPr>
      <w:r w:rsidRPr="00BE50DA">
        <w:rPr>
          <w:rFonts w:ascii="Calibri" w:hAnsi="Calibri"/>
          <w:sz w:val="24"/>
          <w:szCs w:val="24"/>
        </w:rPr>
        <w:t>Robustness</w:t>
      </w:r>
      <w:r w:rsidR="0039408B" w:rsidRPr="00BE50DA">
        <w:rPr>
          <w:rFonts w:ascii="Calibri" w:hAnsi="Calibri"/>
          <w:sz w:val="24"/>
          <w:szCs w:val="24"/>
        </w:rPr>
        <w:t xml:space="preserve"> </w:t>
      </w:r>
    </w:p>
    <w:p w:rsidR="00B724A8" w:rsidRDefault="006A7E60" w:rsidP="00BE50DA">
      <w:pPr>
        <w:spacing w:line="360" w:lineRule="auto"/>
        <w:ind w:firstLine="360"/>
        <w:contextualSpacing/>
        <w:jc w:val="both"/>
        <w:rPr>
          <w:sz w:val="24"/>
          <w:szCs w:val="24"/>
        </w:rPr>
      </w:pPr>
      <w:r w:rsidRPr="00BE50DA">
        <w:rPr>
          <w:rFonts w:ascii="Calibri" w:hAnsi="Calibri"/>
          <w:sz w:val="24"/>
          <w:szCs w:val="24"/>
        </w:rPr>
        <w:t xml:space="preserve">We </w:t>
      </w:r>
      <w:r w:rsidR="00906FAA" w:rsidRPr="00BE50DA">
        <w:rPr>
          <w:rFonts w:ascii="Calibri" w:hAnsi="Calibri"/>
          <w:sz w:val="24"/>
          <w:szCs w:val="24"/>
        </w:rPr>
        <w:t xml:space="preserve">perform </w:t>
      </w:r>
      <w:r w:rsidRPr="00BE50DA">
        <w:rPr>
          <w:rFonts w:ascii="Calibri" w:hAnsi="Calibri"/>
          <w:sz w:val="24"/>
          <w:szCs w:val="24"/>
        </w:rPr>
        <w:t>several robus</w:t>
      </w:r>
      <w:r w:rsidRPr="004B2AE6">
        <w:rPr>
          <w:sz w:val="24"/>
          <w:szCs w:val="24"/>
        </w:rPr>
        <w:t>tness checks to test the validity of our conclusions</w:t>
      </w:r>
      <w:r w:rsidR="00F1501A" w:rsidRPr="004B2AE6">
        <w:rPr>
          <w:sz w:val="24"/>
          <w:szCs w:val="24"/>
        </w:rPr>
        <w:t>.</w:t>
      </w:r>
      <w:r w:rsidR="00CD13D9" w:rsidRPr="004B2AE6">
        <w:rPr>
          <w:sz w:val="24"/>
          <w:szCs w:val="24"/>
        </w:rPr>
        <w:t xml:space="preserve"> </w:t>
      </w:r>
      <w:r w:rsidR="00E76E72">
        <w:rPr>
          <w:sz w:val="24"/>
          <w:szCs w:val="24"/>
        </w:rPr>
        <w:t xml:space="preserve">First we consider additional risk factors. Fama and French (1993) include a term factor as a determinant of government bond returns to capture </w:t>
      </w:r>
      <w:r w:rsidR="00B87D80">
        <w:rPr>
          <w:sz w:val="24"/>
          <w:szCs w:val="24"/>
        </w:rPr>
        <w:t>unexpected changes in interest rates</w:t>
      </w:r>
      <w:r w:rsidR="00E76E72">
        <w:rPr>
          <w:sz w:val="24"/>
          <w:szCs w:val="24"/>
        </w:rPr>
        <w:t>. This is c</w:t>
      </w:r>
      <w:r w:rsidR="00B87D80">
        <w:rPr>
          <w:sz w:val="24"/>
          <w:szCs w:val="24"/>
        </w:rPr>
        <w:t xml:space="preserve">ommonly defined as the difference between a </w:t>
      </w:r>
      <w:r w:rsidR="00B87D80" w:rsidRPr="00B87D80">
        <w:rPr>
          <w:sz w:val="24"/>
          <w:szCs w:val="24"/>
        </w:rPr>
        <w:t>long-term government bond return and a short term government bond rate.</w:t>
      </w:r>
      <w:r w:rsidR="00E76E72">
        <w:rPr>
          <w:sz w:val="24"/>
          <w:szCs w:val="24"/>
        </w:rPr>
        <w:t xml:space="preserve"> We</w:t>
      </w:r>
      <w:r w:rsidR="00B87D80">
        <w:rPr>
          <w:sz w:val="24"/>
          <w:szCs w:val="24"/>
        </w:rPr>
        <w:t xml:space="preserve"> </w:t>
      </w:r>
      <w:r w:rsidR="00E76E72">
        <w:rPr>
          <w:sz w:val="24"/>
          <w:szCs w:val="24"/>
        </w:rPr>
        <w:t xml:space="preserve">build the </w:t>
      </w:r>
      <w:r w:rsidR="00E76E72" w:rsidRPr="004B2AE6">
        <w:rPr>
          <w:sz w:val="24"/>
          <w:szCs w:val="24"/>
        </w:rPr>
        <w:t>TERM factor as the return difference between an approximately 10 year bond portfolio</w:t>
      </w:r>
      <w:r w:rsidR="00C679A1" w:rsidRPr="004B2AE6">
        <w:rPr>
          <w:rStyle w:val="Rimandonotaapidipagina"/>
          <w:sz w:val="24"/>
          <w:szCs w:val="24"/>
        </w:rPr>
        <w:footnoteReference w:id="11"/>
      </w:r>
      <w:r w:rsidR="00E76E72" w:rsidRPr="004B2AE6">
        <w:rPr>
          <w:sz w:val="24"/>
          <w:szCs w:val="24"/>
        </w:rPr>
        <w:t xml:space="preserve"> specific to each country and the 3 month ECB rate.</w:t>
      </w:r>
      <w:r w:rsidR="00C679A1">
        <w:rPr>
          <w:rStyle w:val="Rimandonotaapidipagina"/>
          <w:sz w:val="24"/>
          <w:szCs w:val="24"/>
        </w:rPr>
        <w:footnoteReference w:id="12"/>
      </w:r>
      <w:r w:rsidR="00E76E72" w:rsidRPr="004B2AE6">
        <w:rPr>
          <w:sz w:val="24"/>
          <w:szCs w:val="24"/>
        </w:rPr>
        <w:t xml:space="preserve"> Consistent with the literature, the TERM factor is always positive, highly statistically significant throughout each time period and can explain as much as 68% of the variation in bond returns. </w:t>
      </w:r>
      <w:r w:rsidR="00B87D80">
        <w:rPr>
          <w:sz w:val="24"/>
          <w:szCs w:val="24"/>
        </w:rPr>
        <w:t xml:space="preserve">However, though this factor appears to be an appropriate explanatory variable for stocks and corporate bonds, there </w:t>
      </w:r>
      <w:r w:rsidR="002B2CCA">
        <w:rPr>
          <w:sz w:val="24"/>
          <w:szCs w:val="24"/>
        </w:rPr>
        <w:t xml:space="preserve">seems </w:t>
      </w:r>
      <w:r w:rsidR="00B87D80">
        <w:rPr>
          <w:sz w:val="24"/>
          <w:szCs w:val="24"/>
        </w:rPr>
        <w:t xml:space="preserve">to be a substantial endogeneity issue when employed to explain government bond returns. </w:t>
      </w:r>
      <w:r w:rsidR="002B2CCA">
        <w:rPr>
          <w:sz w:val="24"/>
          <w:szCs w:val="24"/>
        </w:rPr>
        <w:t>We observe that TERM is completely dominated by long term bond component as the variability and magnitude of the 3 month ECB rate a</w:t>
      </w:r>
      <w:r w:rsidR="00B724A8">
        <w:rPr>
          <w:sz w:val="24"/>
          <w:szCs w:val="24"/>
        </w:rPr>
        <w:t xml:space="preserve">re both relatively much smaller. As a result, including TERM in the regression would be “almost” as if the dependent variable was entered on both sides of the equation. </w:t>
      </w:r>
      <w:r w:rsidR="00E76E72" w:rsidRPr="004B2AE6">
        <w:rPr>
          <w:sz w:val="24"/>
          <w:szCs w:val="24"/>
        </w:rPr>
        <w:t xml:space="preserve">Table </w:t>
      </w:r>
      <w:r w:rsidR="00B724A8">
        <w:rPr>
          <w:sz w:val="24"/>
          <w:szCs w:val="24"/>
        </w:rPr>
        <w:t>I</w:t>
      </w:r>
      <w:r w:rsidR="00E76E72" w:rsidRPr="004B2AE6">
        <w:rPr>
          <w:sz w:val="24"/>
          <w:szCs w:val="24"/>
        </w:rPr>
        <w:t xml:space="preserve">X presents the country specific correlation between the TERM factor and excess bond returns for short, medium and long-term maturity bands. Most countries present very high correlation values especially for medium and long term bonds. Also, </w:t>
      </w:r>
      <w:r w:rsidR="00B724A8">
        <w:rPr>
          <w:sz w:val="24"/>
          <w:szCs w:val="24"/>
        </w:rPr>
        <w:t>to illustrate the negligible impact of the short term governm</w:t>
      </w:r>
      <w:r w:rsidR="00C679A1">
        <w:rPr>
          <w:sz w:val="24"/>
          <w:szCs w:val="24"/>
        </w:rPr>
        <w:t>e</w:t>
      </w:r>
      <w:r w:rsidR="00B724A8">
        <w:rPr>
          <w:sz w:val="24"/>
          <w:szCs w:val="24"/>
        </w:rPr>
        <w:t>n</w:t>
      </w:r>
      <w:r w:rsidR="00C679A1">
        <w:rPr>
          <w:sz w:val="24"/>
          <w:szCs w:val="24"/>
        </w:rPr>
        <w:t>t</w:t>
      </w:r>
      <w:r w:rsidR="00B724A8">
        <w:rPr>
          <w:sz w:val="24"/>
          <w:szCs w:val="24"/>
        </w:rPr>
        <w:t xml:space="preserve"> rate in TERM we report the correlation between </w:t>
      </w:r>
      <w:r w:rsidR="00D922C1">
        <w:rPr>
          <w:sz w:val="24"/>
          <w:szCs w:val="24"/>
        </w:rPr>
        <w:t xml:space="preserve">the </w:t>
      </w:r>
      <w:r w:rsidR="00B724A8">
        <w:rPr>
          <w:sz w:val="24"/>
          <w:szCs w:val="24"/>
        </w:rPr>
        <w:t xml:space="preserve">excess bond return </w:t>
      </w:r>
      <w:r w:rsidR="00D922C1">
        <w:rPr>
          <w:sz w:val="24"/>
          <w:szCs w:val="24"/>
        </w:rPr>
        <w:t xml:space="preserve">and </w:t>
      </w:r>
      <w:r w:rsidR="00B724A8">
        <w:rPr>
          <w:sz w:val="24"/>
          <w:szCs w:val="24"/>
        </w:rPr>
        <w:t>TERM defined simply as the 10 year bond return</w:t>
      </w:r>
      <w:r w:rsidR="00D922C1">
        <w:rPr>
          <w:sz w:val="24"/>
          <w:szCs w:val="24"/>
        </w:rPr>
        <w:t xml:space="preserve"> (that is without subtracting the short term return)</w:t>
      </w:r>
      <w:r w:rsidR="00B724A8">
        <w:rPr>
          <w:sz w:val="24"/>
          <w:szCs w:val="24"/>
        </w:rPr>
        <w:t xml:space="preserve">. </w:t>
      </w:r>
      <w:r w:rsidR="005B2D80">
        <w:rPr>
          <w:sz w:val="24"/>
          <w:szCs w:val="24"/>
        </w:rPr>
        <w:t xml:space="preserve">Correlations remain virtually unchanged. </w:t>
      </w:r>
      <w:r w:rsidR="00C679A1">
        <w:rPr>
          <w:sz w:val="24"/>
          <w:szCs w:val="24"/>
        </w:rPr>
        <w:t>For these reasons,</w:t>
      </w:r>
      <w:r w:rsidR="00D922C1">
        <w:rPr>
          <w:sz w:val="24"/>
          <w:szCs w:val="24"/>
        </w:rPr>
        <w:t xml:space="preserve"> </w:t>
      </w:r>
      <w:r w:rsidR="005B2D80">
        <w:rPr>
          <w:sz w:val="24"/>
          <w:szCs w:val="24"/>
        </w:rPr>
        <w:t xml:space="preserve">and the clear interference of TERM with credit and liquidity effects because of its endogeneity, we </w:t>
      </w:r>
      <w:r w:rsidR="00B724A8">
        <w:rPr>
          <w:sz w:val="24"/>
          <w:szCs w:val="24"/>
        </w:rPr>
        <w:t xml:space="preserve">do not include </w:t>
      </w:r>
      <w:r w:rsidR="005B2D80">
        <w:rPr>
          <w:sz w:val="24"/>
          <w:szCs w:val="24"/>
        </w:rPr>
        <w:t xml:space="preserve">this factor </w:t>
      </w:r>
      <w:r w:rsidR="00B724A8">
        <w:rPr>
          <w:sz w:val="24"/>
          <w:szCs w:val="24"/>
        </w:rPr>
        <w:t>in our analysis.</w:t>
      </w:r>
    </w:p>
    <w:p w:rsidR="00E76E72" w:rsidRPr="004B2AE6" w:rsidRDefault="00E76E72" w:rsidP="00BE50DA">
      <w:pPr>
        <w:spacing w:line="360" w:lineRule="auto"/>
        <w:ind w:firstLine="360"/>
        <w:contextualSpacing/>
        <w:jc w:val="both"/>
        <w:rPr>
          <w:sz w:val="24"/>
          <w:szCs w:val="24"/>
        </w:rPr>
      </w:pPr>
    </w:p>
    <w:p w:rsidR="00E76E72" w:rsidRPr="004B2AE6" w:rsidRDefault="00E76E72" w:rsidP="00BE50DA">
      <w:pPr>
        <w:spacing w:line="360" w:lineRule="auto"/>
        <w:ind w:firstLine="360"/>
        <w:contextualSpacing/>
        <w:jc w:val="center"/>
        <w:rPr>
          <w:sz w:val="24"/>
          <w:szCs w:val="24"/>
        </w:rPr>
      </w:pPr>
      <w:r w:rsidRPr="004B2AE6">
        <w:rPr>
          <w:sz w:val="24"/>
          <w:szCs w:val="24"/>
        </w:rPr>
        <w:t>[TABLE X around here]</w:t>
      </w:r>
    </w:p>
    <w:p w:rsidR="00E76E72" w:rsidRPr="004B2AE6" w:rsidRDefault="00E76E72" w:rsidP="00BE50DA">
      <w:pPr>
        <w:spacing w:line="360" w:lineRule="auto"/>
        <w:ind w:firstLine="360"/>
        <w:contextualSpacing/>
        <w:jc w:val="both"/>
        <w:rPr>
          <w:sz w:val="24"/>
          <w:szCs w:val="24"/>
        </w:rPr>
      </w:pPr>
    </w:p>
    <w:p w:rsidR="00E31554" w:rsidRDefault="005B2D80" w:rsidP="00BE50DA">
      <w:pPr>
        <w:spacing w:line="360" w:lineRule="auto"/>
        <w:ind w:firstLine="360"/>
        <w:contextualSpacing/>
        <w:jc w:val="both"/>
        <w:rPr>
          <w:sz w:val="24"/>
          <w:szCs w:val="24"/>
        </w:rPr>
      </w:pPr>
      <w:r>
        <w:rPr>
          <w:sz w:val="24"/>
          <w:szCs w:val="24"/>
        </w:rPr>
        <w:t xml:space="preserve">We find similar problems with two </w:t>
      </w:r>
      <w:r w:rsidR="00E76E72" w:rsidRPr="004B2AE6">
        <w:rPr>
          <w:sz w:val="24"/>
          <w:szCs w:val="24"/>
        </w:rPr>
        <w:t xml:space="preserve">additional risk factors that </w:t>
      </w:r>
      <w:r w:rsidR="00C679A1">
        <w:rPr>
          <w:sz w:val="24"/>
          <w:szCs w:val="24"/>
        </w:rPr>
        <w:t xml:space="preserve">are </w:t>
      </w:r>
      <w:r w:rsidR="00D922C1">
        <w:rPr>
          <w:sz w:val="24"/>
          <w:szCs w:val="24"/>
        </w:rPr>
        <w:t xml:space="preserve">found in </w:t>
      </w:r>
      <w:r w:rsidR="00E761F6">
        <w:rPr>
          <w:sz w:val="24"/>
          <w:szCs w:val="24"/>
        </w:rPr>
        <w:t>related</w:t>
      </w:r>
      <w:r w:rsidR="00D922C1">
        <w:rPr>
          <w:sz w:val="24"/>
          <w:szCs w:val="24"/>
        </w:rPr>
        <w:t xml:space="preserve"> literature</w:t>
      </w:r>
      <w:r w:rsidR="00E76E72" w:rsidRPr="004B2AE6">
        <w:rPr>
          <w:sz w:val="24"/>
          <w:szCs w:val="24"/>
        </w:rPr>
        <w:t xml:space="preserve">. The first is </w:t>
      </w:r>
      <w:r w:rsidR="00D922C1">
        <w:rPr>
          <w:sz w:val="24"/>
          <w:szCs w:val="24"/>
        </w:rPr>
        <w:t xml:space="preserve">an </w:t>
      </w:r>
      <w:r w:rsidR="00E76E72" w:rsidRPr="004B2AE6">
        <w:rPr>
          <w:sz w:val="24"/>
          <w:szCs w:val="24"/>
        </w:rPr>
        <w:t xml:space="preserve">international risk factor constructed as the spread between the 10 year US interest swap </w:t>
      </w:r>
      <w:r w:rsidR="00D922C1">
        <w:rPr>
          <w:sz w:val="24"/>
          <w:szCs w:val="24"/>
        </w:rPr>
        <w:t xml:space="preserve">rate </w:t>
      </w:r>
      <w:r w:rsidR="00E76E72" w:rsidRPr="004B2AE6">
        <w:rPr>
          <w:sz w:val="24"/>
          <w:szCs w:val="24"/>
        </w:rPr>
        <w:t>and the 10 year Treasury bond rate</w:t>
      </w:r>
      <w:r w:rsidR="00212154">
        <w:rPr>
          <w:sz w:val="24"/>
          <w:szCs w:val="24"/>
        </w:rPr>
        <w:t>, which is typically viewed as a global measure of investors’ risk aversion</w:t>
      </w:r>
      <w:r w:rsidR="00E76E72" w:rsidRPr="004B2AE6">
        <w:rPr>
          <w:sz w:val="24"/>
          <w:szCs w:val="24"/>
        </w:rPr>
        <w:t xml:space="preserve">. Codogno et al. (2003) and Favero et al. (2010) find </w:t>
      </w:r>
      <w:r w:rsidR="00212154">
        <w:rPr>
          <w:sz w:val="24"/>
          <w:szCs w:val="24"/>
        </w:rPr>
        <w:t xml:space="preserve">it to be </w:t>
      </w:r>
      <w:r w:rsidR="00E76E72" w:rsidRPr="004B2AE6">
        <w:rPr>
          <w:sz w:val="24"/>
          <w:szCs w:val="24"/>
        </w:rPr>
        <w:t>important in explaining Eurozone sovereign bond yields.</w:t>
      </w:r>
      <w:r w:rsidR="00E761F6">
        <w:rPr>
          <w:sz w:val="24"/>
          <w:szCs w:val="24"/>
        </w:rPr>
        <w:t xml:space="preserve"> </w:t>
      </w:r>
      <w:r w:rsidR="00212154">
        <w:rPr>
          <w:sz w:val="24"/>
          <w:szCs w:val="24"/>
        </w:rPr>
        <w:t xml:space="preserve">Table A.1 shows univariate regressions of excess bond return on this factor which is strongly statistically significant but only in the pre-crisis and subprime crisis periods. When we repeat the same regression separately on the components of the international factor, the 10 year swap rate and 10 year US government bond rate we see again the same </w:t>
      </w:r>
      <w:r w:rsidR="00E31554">
        <w:rPr>
          <w:sz w:val="24"/>
          <w:szCs w:val="24"/>
        </w:rPr>
        <w:t xml:space="preserve">segmentation phenomenon </w:t>
      </w:r>
      <w:r w:rsidR="00212154">
        <w:rPr>
          <w:sz w:val="24"/>
          <w:szCs w:val="24"/>
        </w:rPr>
        <w:t xml:space="preserve">illustrated in Table I. It appears that both components are good proxies of bond returns in Europe. </w:t>
      </w:r>
      <w:r w:rsidR="00E31554">
        <w:rPr>
          <w:sz w:val="24"/>
          <w:szCs w:val="24"/>
        </w:rPr>
        <w:t>Again</w:t>
      </w:r>
      <w:r w:rsidR="00212154">
        <w:rPr>
          <w:sz w:val="24"/>
          <w:szCs w:val="24"/>
        </w:rPr>
        <w:t xml:space="preserve">, </w:t>
      </w:r>
      <w:r w:rsidR="00E31554">
        <w:rPr>
          <w:sz w:val="24"/>
          <w:szCs w:val="24"/>
        </w:rPr>
        <w:t>as for the TERM factor, their inclusion in a multivariate regression with credit and liquidity factors reduce</w:t>
      </w:r>
      <w:r w:rsidR="00747F24">
        <w:rPr>
          <w:sz w:val="24"/>
          <w:szCs w:val="24"/>
        </w:rPr>
        <w:t>s</w:t>
      </w:r>
      <w:r w:rsidR="00E31554">
        <w:rPr>
          <w:sz w:val="24"/>
          <w:szCs w:val="24"/>
        </w:rPr>
        <w:t xml:space="preserve"> the explanatory power of the latter as credit and liquidity effects would be already present in the long term swap rate and government bond rate</w:t>
      </w:r>
      <w:r w:rsidR="00747F24">
        <w:rPr>
          <w:sz w:val="24"/>
          <w:szCs w:val="24"/>
        </w:rPr>
        <w:t xml:space="preserve"> (these result are unreported)</w:t>
      </w:r>
      <w:r w:rsidR="00E31554">
        <w:rPr>
          <w:sz w:val="24"/>
          <w:szCs w:val="24"/>
        </w:rPr>
        <w:t>. When we combine these two rates in the international risk factor we find that it loses significance in the sovereign crisis period because the two compon</w:t>
      </w:r>
      <w:r w:rsidR="00747F24">
        <w:rPr>
          <w:sz w:val="24"/>
          <w:szCs w:val="24"/>
        </w:rPr>
        <w:t>en</w:t>
      </w:r>
      <w:r w:rsidR="00E31554">
        <w:rPr>
          <w:sz w:val="24"/>
          <w:szCs w:val="24"/>
        </w:rPr>
        <w:t>ts’ co-movements are more strongly related and as a result they cancel each other out.</w:t>
      </w:r>
    </w:p>
    <w:p w:rsidR="00E761F6" w:rsidRDefault="00E761F6" w:rsidP="00BE50DA">
      <w:pPr>
        <w:spacing w:line="360" w:lineRule="auto"/>
        <w:ind w:firstLine="360"/>
        <w:contextualSpacing/>
        <w:jc w:val="both"/>
        <w:rPr>
          <w:sz w:val="24"/>
          <w:szCs w:val="24"/>
        </w:rPr>
      </w:pPr>
      <w:r>
        <w:rPr>
          <w:sz w:val="24"/>
          <w:szCs w:val="24"/>
        </w:rPr>
        <w:t xml:space="preserve">The second </w:t>
      </w:r>
      <w:r w:rsidR="00E31554">
        <w:rPr>
          <w:sz w:val="24"/>
          <w:szCs w:val="24"/>
        </w:rPr>
        <w:t xml:space="preserve">factor we look at </w:t>
      </w:r>
      <w:r>
        <w:rPr>
          <w:sz w:val="24"/>
          <w:szCs w:val="24"/>
        </w:rPr>
        <w:t xml:space="preserve">is </w:t>
      </w:r>
      <w:r w:rsidRPr="004B2AE6">
        <w:rPr>
          <w:sz w:val="24"/>
          <w:szCs w:val="24"/>
        </w:rPr>
        <w:t>the LOIS spread</w:t>
      </w:r>
      <w:r>
        <w:rPr>
          <w:sz w:val="24"/>
          <w:szCs w:val="24"/>
        </w:rPr>
        <w:t xml:space="preserve">, </w:t>
      </w:r>
      <w:r w:rsidRPr="004B2AE6">
        <w:rPr>
          <w:sz w:val="24"/>
          <w:szCs w:val="24"/>
        </w:rPr>
        <w:t>the difference between the 3 month EURIBOR and EONIA rates</w:t>
      </w:r>
      <w:r>
        <w:rPr>
          <w:sz w:val="24"/>
          <w:szCs w:val="24"/>
        </w:rPr>
        <w:t xml:space="preserve"> which </w:t>
      </w:r>
      <w:r w:rsidRPr="004B2AE6">
        <w:rPr>
          <w:sz w:val="24"/>
          <w:szCs w:val="24"/>
        </w:rPr>
        <w:t xml:space="preserve">has been </w:t>
      </w:r>
      <w:r w:rsidR="00747F24">
        <w:rPr>
          <w:sz w:val="24"/>
          <w:szCs w:val="24"/>
        </w:rPr>
        <w:t xml:space="preserve">used to capture </w:t>
      </w:r>
      <w:r w:rsidRPr="004B2AE6">
        <w:rPr>
          <w:sz w:val="24"/>
          <w:szCs w:val="24"/>
        </w:rPr>
        <w:t xml:space="preserve">credit and liquidity shocks </w:t>
      </w:r>
      <w:r w:rsidR="00747F24">
        <w:rPr>
          <w:sz w:val="24"/>
          <w:szCs w:val="24"/>
        </w:rPr>
        <w:t xml:space="preserve">in </w:t>
      </w:r>
      <w:r w:rsidRPr="004B2AE6">
        <w:rPr>
          <w:sz w:val="24"/>
          <w:szCs w:val="24"/>
        </w:rPr>
        <w:t>the interbank money market (Ait-Sahalia et al., 2012; Schwarz, 2014)</w:t>
      </w:r>
      <w:r w:rsidR="00E31554">
        <w:rPr>
          <w:sz w:val="24"/>
          <w:szCs w:val="24"/>
        </w:rPr>
        <w:t>. As before, in Table A.2 we report univariate</w:t>
      </w:r>
      <w:r w:rsidR="00747F24">
        <w:rPr>
          <w:sz w:val="24"/>
          <w:szCs w:val="24"/>
        </w:rPr>
        <w:t xml:space="preserve"> regressions of excess bond returns on the changes of the LOIS spread and, separately, on its constituents. The LOIS is highly significant in the first two periods and in the sovereign crisis intervals but only for low risk countries. By inspecting the results for the LOIS components we can see that the EONIA rates </w:t>
      </w:r>
      <w:r w:rsidR="002057A5">
        <w:rPr>
          <w:sz w:val="24"/>
          <w:szCs w:val="24"/>
        </w:rPr>
        <w:t>produces the same results as the LOIS (with negative sign coefficients rather than positive as it is subtracted from the EURIBOR to obtain LOIS) and again confirms the segmentation effect observed in Table I. T</w:t>
      </w:r>
      <w:r w:rsidRPr="004B2AE6">
        <w:rPr>
          <w:sz w:val="24"/>
          <w:szCs w:val="24"/>
        </w:rPr>
        <w:t xml:space="preserve">he estimates for the components of the international risk factor and changes in the 3 month EONIA rate are intuitive. </w:t>
      </w:r>
      <w:r w:rsidR="002057A5">
        <w:rPr>
          <w:sz w:val="24"/>
          <w:szCs w:val="24"/>
        </w:rPr>
        <w:t>A</w:t>
      </w:r>
      <w:r w:rsidRPr="004B2AE6">
        <w:rPr>
          <w:sz w:val="24"/>
          <w:szCs w:val="24"/>
        </w:rPr>
        <w:t xml:space="preserve">ll can be viewed as proxies for unexpected changes in interest rates and are therefore similar to a TERM factor representative </w:t>
      </w:r>
      <w:r w:rsidR="002057A5">
        <w:rPr>
          <w:sz w:val="24"/>
          <w:szCs w:val="24"/>
        </w:rPr>
        <w:t xml:space="preserve">of </w:t>
      </w:r>
      <w:r w:rsidRPr="004B2AE6">
        <w:rPr>
          <w:sz w:val="24"/>
          <w:szCs w:val="24"/>
        </w:rPr>
        <w:t xml:space="preserve">low risk countries. </w:t>
      </w:r>
      <w:r w:rsidR="002057A5">
        <w:rPr>
          <w:sz w:val="24"/>
          <w:szCs w:val="24"/>
        </w:rPr>
        <w:t>F</w:t>
      </w:r>
      <w:r w:rsidRPr="004B2AE6">
        <w:rPr>
          <w:sz w:val="24"/>
          <w:szCs w:val="24"/>
        </w:rPr>
        <w:t xml:space="preserve">or this reason both variables are </w:t>
      </w:r>
      <w:r w:rsidR="002057A5">
        <w:rPr>
          <w:sz w:val="24"/>
          <w:szCs w:val="24"/>
        </w:rPr>
        <w:t xml:space="preserve">excluded from </w:t>
      </w:r>
      <w:r w:rsidRPr="004B2AE6">
        <w:rPr>
          <w:sz w:val="24"/>
          <w:szCs w:val="24"/>
        </w:rPr>
        <w:t xml:space="preserve">the </w:t>
      </w:r>
      <w:r>
        <w:rPr>
          <w:sz w:val="24"/>
          <w:szCs w:val="24"/>
        </w:rPr>
        <w:t xml:space="preserve">main </w:t>
      </w:r>
      <w:r w:rsidRPr="004B2AE6">
        <w:rPr>
          <w:sz w:val="24"/>
          <w:szCs w:val="24"/>
        </w:rPr>
        <w:t xml:space="preserve">regressions presented in </w:t>
      </w:r>
      <w:r>
        <w:rPr>
          <w:sz w:val="24"/>
          <w:szCs w:val="24"/>
        </w:rPr>
        <w:t xml:space="preserve">Table </w:t>
      </w:r>
      <w:r w:rsidR="002057A5">
        <w:rPr>
          <w:sz w:val="24"/>
          <w:szCs w:val="24"/>
        </w:rPr>
        <w:t>VI</w:t>
      </w:r>
      <w:r>
        <w:rPr>
          <w:sz w:val="24"/>
          <w:szCs w:val="24"/>
        </w:rPr>
        <w:t xml:space="preserve"> </w:t>
      </w:r>
      <w:r w:rsidRPr="004B2AE6">
        <w:rPr>
          <w:sz w:val="24"/>
          <w:szCs w:val="24"/>
        </w:rPr>
        <w:t xml:space="preserve">as these would </w:t>
      </w:r>
      <w:r w:rsidR="002057A5">
        <w:rPr>
          <w:sz w:val="24"/>
          <w:szCs w:val="24"/>
        </w:rPr>
        <w:t xml:space="preserve">interfere with the </w:t>
      </w:r>
      <w:r w:rsidRPr="004B2AE6">
        <w:rPr>
          <w:sz w:val="24"/>
          <w:szCs w:val="24"/>
        </w:rPr>
        <w:t>term structure of the credit and liquidity risk factors.</w:t>
      </w:r>
    </w:p>
    <w:p w:rsidR="002A7330" w:rsidRPr="004B2AE6" w:rsidRDefault="002A7330" w:rsidP="00BE50DA">
      <w:pPr>
        <w:spacing w:line="360" w:lineRule="auto"/>
        <w:ind w:firstLine="360"/>
        <w:contextualSpacing/>
        <w:jc w:val="both"/>
        <w:rPr>
          <w:sz w:val="24"/>
          <w:szCs w:val="24"/>
        </w:rPr>
      </w:pPr>
      <w:r w:rsidRPr="004B2AE6">
        <w:rPr>
          <w:sz w:val="24"/>
          <w:szCs w:val="24"/>
        </w:rPr>
        <w:lastRenderedPageBreak/>
        <w:t xml:space="preserve">We have </w:t>
      </w:r>
      <w:r>
        <w:rPr>
          <w:sz w:val="24"/>
          <w:szCs w:val="24"/>
        </w:rPr>
        <w:t xml:space="preserve">also </w:t>
      </w:r>
      <w:r w:rsidRPr="004B2AE6">
        <w:rPr>
          <w:sz w:val="24"/>
          <w:szCs w:val="24"/>
        </w:rPr>
        <w:t>considered the log changes in quoted depth as an additional liquidity risk</w:t>
      </w:r>
      <w:r>
        <w:rPr>
          <w:sz w:val="24"/>
          <w:szCs w:val="24"/>
        </w:rPr>
        <w:t xml:space="preserve"> proxy</w:t>
      </w:r>
      <w:r w:rsidRPr="004B2AE6">
        <w:rPr>
          <w:sz w:val="24"/>
          <w:szCs w:val="24"/>
        </w:rPr>
        <w:t xml:space="preserve">. For each intra-day quote update, depth is equal to the average tradable size available at the best bid and the best ask. Daily observations are obtained as an average of all intra-day depth observations weighted by the time each quote update was available in the order book. </w:t>
      </w:r>
      <w:r>
        <w:rPr>
          <w:sz w:val="24"/>
          <w:szCs w:val="24"/>
        </w:rPr>
        <w:t>T</w:t>
      </w:r>
      <w:r w:rsidRPr="004B2AE6">
        <w:rPr>
          <w:sz w:val="24"/>
          <w:szCs w:val="24"/>
        </w:rPr>
        <w:t xml:space="preserve">his variable proved to be </w:t>
      </w:r>
      <w:r>
        <w:rPr>
          <w:sz w:val="24"/>
          <w:szCs w:val="24"/>
        </w:rPr>
        <w:t xml:space="preserve">not </w:t>
      </w:r>
      <w:r w:rsidRPr="004B2AE6">
        <w:rPr>
          <w:sz w:val="24"/>
          <w:szCs w:val="24"/>
        </w:rPr>
        <w:t xml:space="preserve">statistically significant in </w:t>
      </w:r>
      <w:r>
        <w:rPr>
          <w:sz w:val="24"/>
          <w:szCs w:val="24"/>
        </w:rPr>
        <w:t xml:space="preserve">most </w:t>
      </w:r>
      <w:r w:rsidRPr="004B2AE6">
        <w:rPr>
          <w:sz w:val="24"/>
          <w:szCs w:val="24"/>
        </w:rPr>
        <w:t>regressions.</w:t>
      </w:r>
    </w:p>
    <w:p w:rsidR="006722DE" w:rsidRDefault="00906FAA" w:rsidP="00BE50DA">
      <w:pPr>
        <w:spacing w:line="360" w:lineRule="auto"/>
        <w:ind w:firstLine="360"/>
        <w:contextualSpacing/>
        <w:jc w:val="both"/>
        <w:rPr>
          <w:sz w:val="24"/>
          <w:szCs w:val="24"/>
        </w:rPr>
      </w:pPr>
      <w:r>
        <w:rPr>
          <w:sz w:val="24"/>
          <w:szCs w:val="24"/>
        </w:rPr>
        <w:t xml:space="preserve">We perform several other robustness tests. First, we change the </w:t>
      </w:r>
      <w:r w:rsidR="00CD13D9" w:rsidRPr="004B2AE6">
        <w:rPr>
          <w:sz w:val="24"/>
          <w:szCs w:val="24"/>
        </w:rPr>
        <w:t xml:space="preserve">cut-off </w:t>
      </w:r>
      <w:r>
        <w:rPr>
          <w:sz w:val="24"/>
          <w:szCs w:val="24"/>
        </w:rPr>
        <w:t xml:space="preserve">date </w:t>
      </w:r>
      <w:r w:rsidR="00CD13D9" w:rsidRPr="004B2AE6">
        <w:rPr>
          <w:sz w:val="24"/>
          <w:szCs w:val="24"/>
        </w:rPr>
        <w:t xml:space="preserve">used to split the sovereign debt crisis in two </w:t>
      </w:r>
      <w:r>
        <w:rPr>
          <w:sz w:val="24"/>
          <w:szCs w:val="24"/>
        </w:rPr>
        <w:t xml:space="preserve">intervals </w:t>
      </w:r>
      <w:r w:rsidR="00931C19" w:rsidRPr="004B2AE6">
        <w:rPr>
          <w:sz w:val="24"/>
          <w:szCs w:val="24"/>
        </w:rPr>
        <w:t xml:space="preserve">from 01 January 2012 to 01 July 2012 as there is a clear reduction in both CDS prices and bond pSPR after this date. Besides some loss in coefficient significance for the medium risk countries, the </w:t>
      </w:r>
      <w:r>
        <w:rPr>
          <w:sz w:val="24"/>
          <w:szCs w:val="24"/>
        </w:rPr>
        <w:t xml:space="preserve">remaining </w:t>
      </w:r>
      <w:r w:rsidR="00931C19" w:rsidRPr="004B2AE6">
        <w:rPr>
          <w:sz w:val="24"/>
          <w:szCs w:val="24"/>
        </w:rPr>
        <w:t>result</w:t>
      </w:r>
      <w:r w:rsidR="00AC74A2" w:rsidRPr="004B2AE6">
        <w:rPr>
          <w:sz w:val="24"/>
          <w:szCs w:val="24"/>
        </w:rPr>
        <w:t>s</w:t>
      </w:r>
      <w:r w:rsidR="00931C19" w:rsidRPr="004B2AE6">
        <w:rPr>
          <w:sz w:val="24"/>
          <w:szCs w:val="24"/>
        </w:rPr>
        <w:t xml:space="preserve"> </w:t>
      </w:r>
      <w:r>
        <w:rPr>
          <w:sz w:val="24"/>
          <w:szCs w:val="24"/>
        </w:rPr>
        <w:t xml:space="preserve">are </w:t>
      </w:r>
      <w:r w:rsidR="00931C19" w:rsidRPr="004B2AE6">
        <w:rPr>
          <w:sz w:val="24"/>
          <w:szCs w:val="24"/>
        </w:rPr>
        <w:t>virtually the same.</w:t>
      </w:r>
      <w:r w:rsidR="00253CF8" w:rsidRPr="004B2AE6">
        <w:rPr>
          <w:sz w:val="24"/>
          <w:szCs w:val="24"/>
        </w:rPr>
        <w:t xml:space="preserve"> </w:t>
      </w:r>
    </w:p>
    <w:p w:rsidR="00143E34" w:rsidRDefault="006722DE" w:rsidP="00BE50DA">
      <w:pPr>
        <w:spacing w:line="360" w:lineRule="auto"/>
        <w:ind w:firstLine="360"/>
        <w:contextualSpacing/>
        <w:jc w:val="both"/>
        <w:rPr>
          <w:sz w:val="24"/>
          <w:szCs w:val="24"/>
        </w:rPr>
      </w:pPr>
      <w:r>
        <w:rPr>
          <w:sz w:val="24"/>
          <w:szCs w:val="24"/>
        </w:rPr>
        <w:t xml:space="preserve">In the main analysis we use </w:t>
      </w:r>
      <w:r w:rsidR="00331254" w:rsidRPr="004B2AE6">
        <w:rPr>
          <w:sz w:val="24"/>
          <w:szCs w:val="24"/>
        </w:rPr>
        <w:t>clean price returns</w:t>
      </w:r>
      <w:r w:rsidR="00331254" w:rsidRPr="00012BB2">
        <w:rPr>
          <w:sz w:val="24"/>
          <w:szCs w:val="24"/>
        </w:rPr>
        <w:t>.</w:t>
      </w:r>
      <w:r w:rsidR="00143E34" w:rsidRPr="001425A0">
        <w:rPr>
          <w:sz w:val="24"/>
          <w:szCs w:val="24"/>
        </w:rPr>
        <w:t xml:space="preserve"> We test</w:t>
      </w:r>
      <w:r w:rsidR="009D0513" w:rsidRPr="001425A0">
        <w:rPr>
          <w:sz w:val="24"/>
          <w:szCs w:val="24"/>
        </w:rPr>
        <w:t xml:space="preserve"> whether accrued interest has an </w:t>
      </w:r>
      <w:r w:rsidR="00143E34" w:rsidRPr="001425A0">
        <w:rPr>
          <w:sz w:val="24"/>
          <w:szCs w:val="24"/>
        </w:rPr>
        <w:t xml:space="preserve">impact on </w:t>
      </w:r>
      <w:r w:rsidR="00981C74" w:rsidRPr="001425A0">
        <w:rPr>
          <w:sz w:val="24"/>
          <w:szCs w:val="24"/>
        </w:rPr>
        <w:t>our</w:t>
      </w:r>
      <w:r w:rsidR="00143E34" w:rsidRPr="001425A0">
        <w:rPr>
          <w:sz w:val="24"/>
          <w:szCs w:val="24"/>
        </w:rPr>
        <w:t xml:space="preserve"> results by</w:t>
      </w:r>
      <w:r w:rsidR="009D0513" w:rsidRPr="001425A0">
        <w:rPr>
          <w:sz w:val="24"/>
          <w:szCs w:val="24"/>
        </w:rPr>
        <w:t xml:space="preserve"> estimating the dirty price for each bond. We use</w:t>
      </w:r>
      <w:r w:rsidR="00143E34" w:rsidRPr="001425A0">
        <w:rPr>
          <w:sz w:val="24"/>
          <w:szCs w:val="24"/>
        </w:rPr>
        <w:t xml:space="preserve"> the following formula to compute bond returns:  </w:t>
      </w:r>
      <w:r w:rsidR="00331254" w:rsidRPr="00611D99">
        <w:rPr>
          <w:sz w:val="24"/>
          <w:szCs w:val="24"/>
        </w:rPr>
        <w:t xml:space="preserve">     </w:t>
      </w:r>
      <w:r w:rsidR="00185590" w:rsidRPr="00611D99">
        <w:rPr>
          <w:sz w:val="24"/>
          <w:szCs w:val="24"/>
        </w:rPr>
        <w:t xml:space="preserve"> </w:t>
      </w:r>
    </w:p>
    <w:p w:rsidR="00BE50DA" w:rsidRPr="00611D99" w:rsidRDefault="00BE50DA" w:rsidP="00BE50DA">
      <w:pPr>
        <w:spacing w:line="360" w:lineRule="auto"/>
        <w:ind w:firstLine="360"/>
        <w:contextualSpacing/>
        <w:jc w:val="both"/>
        <w:rPr>
          <w:sz w:val="24"/>
          <w:szCs w:val="24"/>
        </w:rPr>
      </w:pPr>
    </w:p>
    <w:p w:rsidR="003A59F4" w:rsidRPr="007B689B" w:rsidRDefault="00CE06E1" w:rsidP="00BE50DA">
      <w:pPr>
        <w:spacing w:line="360" w:lineRule="auto"/>
        <w:ind w:firstLine="360"/>
        <w:contextualSpacing/>
        <w:jc w:val="both"/>
        <w:rPr>
          <w:rFonts w:eastAsiaTheme="minorEastAsia"/>
          <w:sz w:val="24"/>
          <w:szCs w:val="24"/>
        </w:rPr>
      </w:pPr>
      <m:oMathPara>
        <m:oMath>
          <m:sSub>
            <m:sSubPr>
              <m:ctrlPr>
                <w:rPr>
                  <w:rFonts w:ascii="Cambria Math" w:hAnsi="Cambria Math"/>
                  <w:i/>
                  <w:sz w:val="24"/>
                  <w:szCs w:val="24"/>
                </w:rPr>
              </m:ctrlPr>
            </m:sSubPr>
            <m:e>
              <m:r>
                <w:rPr>
                  <w:rFonts w:ascii="Cambria Math" w:hAnsi="Cambria Math"/>
                  <w:sz w:val="24"/>
                  <w:szCs w:val="24"/>
                </w:rPr>
                <m:t>RB</m:t>
              </m:r>
            </m:e>
            <m:sub>
              <m:r>
                <w:rPr>
                  <w:rFonts w:ascii="Cambria Math" w:hAnsi="Cambria Math"/>
                  <w:sz w:val="24"/>
                  <w:szCs w:val="24"/>
                </w:rPr>
                <m:t>i,t</m:t>
              </m:r>
            </m:sub>
          </m:sSub>
          <m:r>
            <w:rPr>
              <w:rFonts w:ascii="Cambria Math" w:hAnsi="Cambria Math"/>
              <w:sz w:val="24"/>
              <w:szCs w:val="24"/>
            </w:rPr>
            <m:t>=</m:t>
          </m:r>
          <m:f>
            <m:fPr>
              <m:ctrlPr>
                <w:rPr>
                  <w:rFonts w:ascii="Cambria Math" w:hAnsi="Cambria Math"/>
                  <w:i/>
                  <w:sz w:val="24"/>
                  <w:szCs w:val="24"/>
                </w:rPr>
              </m:ctrlPr>
            </m:fPr>
            <m:num>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i,t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AI</m:t>
                      </m:r>
                    </m:e>
                    <m:sub>
                      <m:r>
                        <w:rPr>
                          <w:rFonts w:ascii="Cambria Math" w:hAnsi="Cambria Math"/>
                          <w:sz w:val="24"/>
                          <w:szCs w:val="24"/>
                        </w:rPr>
                        <m:t>i,t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i,t</m:t>
                      </m:r>
                    </m:sub>
                  </m:sSub>
                </m:e>
              </m:d>
            </m:num>
            <m:den>
              <m:d>
                <m:dPr>
                  <m:ctrlPr>
                    <w:rPr>
                      <w:rFonts w:ascii="Cambria Math" w:hAnsi="Cambria Math"/>
                      <w:i/>
                      <w:sz w:val="24"/>
                      <w:szCs w:val="24"/>
                    </w:rPr>
                  </m:ctrlPr>
                </m:dPr>
                <m:e>
                  <m:sSub>
                    <m:sSubPr>
                      <m:ctrlPr>
                        <w:rPr>
                          <w:rFonts w:ascii="Cambria Math" w:hAnsi="Cambria Math"/>
                          <w:i/>
                          <w:sz w:val="24"/>
                          <w:szCs w:val="24"/>
                        </w:rPr>
                      </m:ctrlPr>
                    </m:sSubPr>
                    <m:e>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i,t-1</m:t>
                          </m:r>
                        </m:sub>
                      </m:sSub>
                      <m:r>
                        <w:rPr>
                          <w:rFonts w:ascii="Cambria Math" w:hAnsi="Cambria Math"/>
                          <w:sz w:val="24"/>
                          <w:szCs w:val="24"/>
                        </w:rPr>
                        <m:t>+AI</m:t>
                      </m:r>
                    </m:e>
                    <m:sub>
                      <m:r>
                        <w:rPr>
                          <w:rFonts w:ascii="Cambria Math" w:hAnsi="Cambria Math"/>
                          <w:sz w:val="24"/>
                          <w:szCs w:val="24"/>
                        </w:rPr>
                        <m:t>i,t-1</m:t>
                      </m:r>
                    </m:sub>
                  </m:sSub>
                </m:e>
              </m:d>
            </m:den>
          </m:f>
          <m:r>
            <w:rPr>
              <w:rFonts w:ascii="Cambria Math" w:hAnsi="Cambria Math"/>
              <w:sz w:val="24"/>
              <w:szCs w:val="24"/>
            </w:rPr>
            <m:t xml:space="preserve"> - 1                                      (2)</m:t>
          </m:r>
        </m:oMath>
      </m:oMathPara>
    </w:p>
    <w:p w:rsidR="00BE50DA" w:rsidRDefault="00BE50DA" w:rsidP="00BE50DA">
      <w:pPr>
        <w:spacing w:line="360" w:lineRule="auto"/>
        <w:contextualSpacing/>
        <w:jc w:val="both"/>
        <w:rPr>
          <w:sz w:val="24"/>
          <w:szCs w:val="24"/>
        </w:rPr>
      </w:pPr>
    </w:p>
    <w:p w:rsidR="00981C74" w:rsidRPr="00012BB2" w:rsidRDefault="00143E34" w:rsidP="00BE50DA">
      <w:pPr>
        <w:spacing w:line="360" w:lineRule="auto"/>
        <w:contextualSpacing/>
        <w:jc w:val="both"/>
        <w:rPr>
          <w:sz w:val="24"/>
          <w:szCs w:val="24"/>
        </w:rPr>
      </w:pPr>
      <w:r w:rsidRPr="00012BB2">
        <w:rPr>
          <w:sz w:val="24"/>
          <w:szCs w:val="24"/>
        </w:rPr>
        <w:t xml:space="preserve">where  </w:t>
      </w:r>
      <m:oMath>
        <m:sSub>
          <m:sSubPr>
            <m:ctrlPr>
              <w:rPr>
                <w:rFonts w:ascii="Cambria Math" w:hAnsi="Cambria Math"/>
                <w:i/>
                <w:sz w:val="24"/>
                <w:szCs w:val="24"/>
              </w:rPr>
            </m:ctrlPr>
          </m:sSubPr>
          <m:e>
            <m:r>
              <w:rPr>
                <w:rFonts w:ascii="Cambria Math" w:hAnsi="Cambria Math"/>
                <w:sz w:val="24"/>
                <w:szCs w:val="24"/>
              </w:rPr>
              <m:t>RB</m:t>
            </m:r>
          </m:e>
          <m:sub>
            <m:r>
              <w:rPr>
                <w:rFonts w:ascii="Cambria Math" w:hAnsi="Cambria Math"/>
                <w:sz w:val="24"/>
                <w:szCs w:val="24"/>
              </w:rPr>
              <m:t>i,t</m:t>
            </m:r>
          </m:sub>
        </m:sSub>
      </m:oMath>
      <w:r w:rsidRPr="007B689B">
        <w:rPr>
          <w:rFonts w:eastAsiaTheme="minorEastAsia"/>
          <w:sz w:val="24"/>
          <w:szCs w:val="24"/>
        </w:rPr>
        <w:t xml:space="preserve"> </w:t>
      </w:r>
      <w:r w:rsidRPr="00012BB2">
        <w:rPr>
          <w:sz w:val="24"/>
          <w:szCs w:val="24"/>
        </w:rPr>
        <w:t xml:space="preserve">represents the bond return of bond i at time t, </w:t>
      </w:r>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i,t</m:t>
            </m:r>
          </m:sub>
        </m:sSub>
      </m:oMath>
      <w:r w:rsidRPr="00012BB2">
        <w:rPr>
          <w:sz w:val="24"/>
          <w:szCs w:val="24"/>
        </w:rPr>
        <w:t xml:space="preserve"> is the bond clean price, </w:t>
      </w:r>
      <m:oMath>
        <m:sSub>
          <m:sSubPr>
            <m:ctrlPr>
              <w:rPr>
                <w:rFonts w:ascii="Cambria Math" w:hAnsi="Cambria Math"/>
                <w:i/>
                <w:sz w:val="24"/>
                <w:szCs w:val="24"/>
              </w:rPr>
            </m:ctrlPr>
          </m:sSubPr>
          <m:e>
            <m:r>
              <w:rPr>
                <w:rFonts w:ascii="Cambria Math" w:hAnsi="Cambria Math"/>
                <w:sz w:val="24"/>
                <w:szCs w:val="24"/>
              </w:rPr>
              <m:t>AI</m:t>
            </m:r>
          </m:e>
          <m:sub>
            <m:r>
              <w:rPr>
                <w:rFonts w:ascii="Cambria Math" w:hAnsi="Cambria Math"/>
                <w:sz w:val="24"/>
                <w:szCs w:val="24"/>
              </w:rPr>
              <m:t>i,t</m:t>
            </m:r>
          </m:sub>
        </m:sSub>
      </m:oMath>
      <w:r w:rsidRPr="007B689B">
        <w:rPr>
          <w:rFonts w:eastAsiaTheme="minorEastAsia"/>
          <w:sz w:val="24"/>
          <w:szCs w:val="24"/>
        </w:rPr>
        <w:t xml:space="preserve"> </w:t>
      </w:r>
      <w:r w:rsidRPr="00012BB2">
        <w:rPr>
          <w:sz w:val="24"/>
          <w:szCs w:val="24"/>
        </w:rPr>
        <w:t xml:space="preserve">is the accrued interest </w:t>
      </w:r>
      <w:r w:rsidR="00981C74" w:rsidRPr="00012BB2">
        <w:rPr>
          <w:sz w:val="24"/>
          <w:szCs w:val="24"/>
        </w:rPr>
        <w:t xml:space="preserve">at time t </w:t>
      </w:r>
      <w:r w:rsidRPr="00012BB2">
        <w:rPr>
          <w:sz w:val="24"/>
          <w:szCs w:val="24"/>
        </w:rPr>
        <w:t xml:space="preserve">and </w:t>
      </w:r>
      <m:oMath>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i,t</m:t>
            </m:r>
          </m:sub>
        </m:sSub>
      </m:oMath>
      <w:r w:rsidR="00981C74" w:rsidRPr="00012BB2">
        <w:rPr>
          <w:sz w:val="24"/>
          <w:szCs w:val="24"/>
        </w:rPr>
        <w:t xml:space="preserve"> represents</w:t>
      </w:r>
      <w:r w:rsidRPr="00012BB2">
        <w:rPr>
          <w:sz w:val="24"/>
          <w:szCs w:val="24"/>
        </w:rPr>
        <w:t xml:space="preserve"> any coupon received </w:t>
      </w:r>
      <w:r w:rsidR="00981C74" w:rsidRPr="00012BB2">
        <w:rPr>
          <w:sz w:val="24"/>
          <w:szCs w:val="24"/>
        </w:rPr>
        <w:t>in the period t-1 to t. Using dirty price return does</w:t>
      </w:r>
      <w:r w:rsidR="006722DE">
        <w:rPr>
          <w:sz w:val="24"/>
          <w:szCs w:val="24"/>
        </w:rPr>
        <w:t xml:space="preserve"> not</w:t>
      </w:r>
      <w:r w:rsidR="00981C74" w:rsidRPr="00012BB2">
        <w:rPr>
          <w:sz w:val="24"/>
          <w:szCs w:val="24"/>
        </w:rPr>
        <w:t xml:space="preserve"> changes our conclusions. </w:t>
      </w:r>
    </w:p>
    <w:p w:rsidR="00071420" w:rsidRDefault="00071420" w:rsidP="00BE50DA">
      <w:pPr>
        <w:spacing w:line="360" w:lineRule="auto"/>
        <w:ind w:firstLine="360"/>
        <w:contextualSpacing/>
        <w:jc w:val="both"/>
        <w:rPr>
          <w:sz w:val="24"/>
          <w:szCs w:val="24"/>
        </w:rPr>
      </w:pPr>
      <w:r w:rsidRPr="001425A0">
        <w:rPr>
          <w:sz w:val="24"/>
          <w:szCs w:val="24"/>
        </w:rPr>
        <w:t>T</w:t>
      </w:r>
      <w:r w:rsidR="00981C74" w:rsidRPr="001425A0">
        <w:rPr>
          <w:sz w:val="24"/>
          <w:szCs w:val="24"/>
        </w:rPr>
        <w:t xml:space="preserve">o examine the </w:t>
      </w:r>
      <w:r w:rsidR="006722DE">
        <w:rPr>
          <w:sz w:val="24"/>
          <w:szCs w:val="24"/>
        </w:rPr>
        <w:t xml:space="preserve">sensitivity of our findings to </w:t>
      </w:r>
      <w:r w:rsidR="00981C74" w:rsidRPr="001425A0">
        <w:rPr>
          <w:sz w:val="24"/>
          <w:szCs w:val="24"/>
        </w:rPr>
        <w:t xml:space="preserve">our credit risk proxy, we </w:t>
      </w:r>
      <w:r w:rsidR="006722DE">
        <w:rPr>
          <w:sz w:val="24"/>
          <w:szCs w:val="24"/>
        </w:rPr>
        <w:t xml:space="preserve">replace our CDS data sourced from CMA with </w:t>
      </w:r>
      <w:r w:rsidR="00981C74" w:rsidRPr="001425A0">
        <w:rPr>
          <w:sz w:val="24"/>
          <w:szCs w:val="24"/>
        </w:rPr>
        <w:t>5 year CDS prices, denominated in USD,</w:t>
      </w:r>
      <w:r w:rsidR="00926A1A" w:rsidRPr="001425A0">
        <w:rPr>
          <w:sz w:val="24"/>
          <w:szCs w:val="24"/>
        </w:rPr>
        <w:t xml:space="preserve"> for our 11 Euro-zone countries</w:t>
      </w:r>
      <w:r w:rsidR="00981C74" w:rsidRPr="001425A0">
        <w:rPr>
          <w:sz w:val="24"/>
          <w:szCs w:val="24"/>
        </w:rPr>
        <w:t xml:space="preserve"> from Bloomberg’s generic pricing source C</w:t>
      </w:r>
      <w:r w:rsidR="00981C74" w:rsidRPr="00611D99">
        <w:rPr>
          <w:sz w:val="24"/>
          <w:szCs w:val="24"/>
        </w:rPr>
        <w:t>BBT</w:t>
      </w:r>
      <w:r w:rsidR="00926A1A" w:rsidRPr="00611D99">
        <w:rPr>
          <w:sz w:val="24"/>
          <w:szCs w:val="24"/>
        </w:rPr>
        <w:t xml:space="preserve">. </w:t>
      </w:r>
      <w:r w:rsidR="006722DE">
        <w:rPr>
          <w:sz w:val="24"/>
          <w:szCs w:val="24"/>
        </w:rPr>
        <w:t>Despite the fact that t</w:t>
      </w:r>
      <w:r w:rsidR="00926A1A" w:rsidRPr="00611D99">
        <w:rPr>
          <w:sz w:val="24"/>
          <w:szCs w:val="24"/>
        </w:rPr>
        <w:t>he Bloomberg CDS</w:t>
      </w:r>
      <w:r w:rsidR="00926A1A" w:rsidRPr="004B2AE6">
        <w:rPr>
          <w:sz w:val="24"/>
          <w:szCs w:val="24"/>
        </w:rPr>
        <w:t xml:space="preserve"> data </w:t>
      </w:r>
      <w:r w:rsidR="006722DE">
        <w:rPr>
          <w:sz w:val="24"/>
          <w:szCs w:val="24"/>
        </w:rPr>
        <w:t xml:space="preserve">includes shorter time series, they do not alter our results. </w:t>
      </w:r>
    </w:p>
    <w:p w:rsidR="00BE50DA" w:rsidRPr="004B2AE6" w:rsidRDefault="00BE50DA" w:rsidP="00BE50DA">
      <w:pPr>
        <w:spacing w:line="360" w:lineRule="auto"/>
        <w:ind w:firstLine="360"/>
        <w:contextualSpacing/>
        <w:jc w:val="both"/>
        <w:rPr>
          <w:sz w:val="24"/>
          <w:szCs w:val="24"/>
        </w:rPr>
      </w:pPr>
    </w:p>
    <w:p w:rsidR="00632FA5" w:rsidRPr="00BE50DA" w:rsidRDefault="005A6160" w:rsidP="00BE50DA">
      <w:pPr>
        <w:pStyle w:val="Paragrafoelenco"/>
        <w:numPr>
          <w:ilvl w:val="0"/>
          <w:numId w:val="1"/>
        </w:numPr>
        <w:spacing w:line="360" w:lineRule="auto"/>
        <w:jc w:val="both"/>
        <w:rPr>
          <w:sz w:val="24"/>
          <w:szCs w:val="24"/>
        </w:rPr>
      </w:pPr>
      <w:r w:rsidRPr="00BE50DA">
        <w:rPr>
          <w:sz w:val="24"/>
          <w:szCs w:val="24"/>
        </w:rPr>
        <w:t>Conclusion</w:t>
      </w:r>
    </w:p>
    <w:p w:rsidR="00AA4773" w:rsidRPr="004B2AE6" w:rsidRDefault="00335EAA" w:rsidP="000059BD">
      <w:pPr>
        <w:spacing w:line="360" w:lineRule="auto"/>
        <w:ind w:firstLine="360"/>
        <w:contextualSpacing/>
        <w:jc w:val="both"/>
        <w:rPr>
          <w:sz w:val="24"/>
          <w:szCs w:val="24"/>
        </w:rPr>
      </w:pPr>
      <w:r w:rsidRPr="004B2AE6">
        <w:rPr>
          <w:sz w:val="24"/>
          <w:szCs w:val="24"/>
        </w:rPr>
        <w:t xml:space="preserve">The sovereign debt crisis offers a unique opportunity to </w:t>
      </w:r>
      <w:r w:rsidR="008669D8">
        <w:rPr>
          <w:sz w:val="24"/>
          <w:szCs w:val="24"/>
        </w:rPr>
        <w:t>study how the return of government bonds and stocks co-move when the market is subject to stress conditions of different degree and type.</w:t>
      </w:r>
      <w:r w:rsidR="00830D33" w:rsidRPr="004B2AE6">
        <w:rPr>
          <w:sz w:val="24"/>
          <w:szCs w:val="24"/>
        </w:rPr>
        <w:t xml:space="preserve"> Using a </w:t>
      </w:r>
      <w:r w:rsidR="008669D8">
        <w:rPr>
          <w:sz w:val="24"/>
          <w:szCs w:val="24"/>
        </w:rPr>
        <w:t xml:space="preserve">comprehensive </w:t>
      </w:r>
      <w:r w:rsidR="00830D33" w:rsidRPr="004B2AE6">
        <w:rPr>
          <w:sz w:val="24"/>
          <w:szCs w:val="24"/>
        </w:rPr>
        <w:t xml:space="preserve">dataset </w:t>
      </w:r>
      <w:r w:rsidR="008669D8">
        <w:rPr>
          <w:sz w:val="24"/>
          <w:szCs w:val="24"/>
        </w:rPr>
        <w:t xml:space="preserve">of European sovereign bond prices stretching </w:t>
      </w:r>
      <w:r w:rsidR="007F3338" w:rsidRPr="004B2AE6">
        <w:rPr>
          <w:sz w:val="24"/>
          <w:szCs w:val="24"/>
        </w:rPr>
        <w:t xml:space="preserve">over </w:t>
      </w:r>
      <w:r w:rsidR="008669D8">
        <w:rPr>
          <w:sz w:val="24"/>
          <w:szCs w:val="24"/>
        </w:rPr>
        <w:t xml:space="preserve">a period of </w:t>
      </w:r>
      <w:r w:rsidR="007F3338" w:rsidRPr="004B2AE6">
        <w:rPr>
          <w:sz w:val="24"/>
          <w:szCs w:val="24"/>
        </w:rPr>
        <w:t>10 years</w:t>
      </w:r>
      <w:r w:rsidR="008669D8">
        <w:rPr>
          <w:sz w:val="24"/>
          <w:szCs w:val="24"/>
        </w:rPr>
        <w:t xml:space="preserve"> that includes the subprime crisis as well as the European sovereign debt crisis</w:t>
      </w:r>
      <w:r w:rsidR="007F3338" w:rsidRPr="004B2AE6">
        <w:rPr>
          <w:sz w:val="24"/>
          <w:szCs w:val="24"/>
        </w:rPr>
        <w:t>,</w:t>
      </w:r>
      <w:r w:rsidR="00F4558A" w:rsidRPr="004B2AE6">
        <w:rPr>
          <w:sz w:val="24"/>
          <w:szCs w:val="24"/>
        </w:rPr>
        <w:t xml:space="preserve"> </w:t>
      </w:r>
      <w:r w:rsidR="00AA4773" w:rsidRPr="004B2AE6">
        <w:rPr>
          <w:sz w:val="24"/>
          <w:szCs w:val="24"/>
        </w:rPr>
        <w:t xml:space="preserve">we find that in low risk countries, government bond returns </w:t>
      </w:r>
      <w:r w:rsidR="00AA4773" w:rsidRPr="004B2AE6">
        <w:rPr>
          <w:sz w:val="24"/>
          <w:szCs w:val="24"/>
        </w:rPr>
        <w:lastRenderedPageBreak/>
        <w:t>are negatively related to equity returns, regardless of market conditions. Investors appear to migrate from low risk government bonds to stocks in calm periods and in the opposite direction when markets are under stress. On the other hand, government bonds of high risk countries lose their “safe-asset” status during the recent sovereign debt crisis and have exhibited more equity-like features since then, with positive and strongly significant co-movements relative to the stock market</w:t>
      </w:r>
      <w:r w:rsidR="008669D8">
        <w:rPr>
          <w:sz w:val="24"/>
          <w:szCs w:val="24"/>
        </w:rPr>
        <w:t xml:space="preserve"> as well as abnormally high levels of volatility</w:t>
      </w:r>
      <w:r w:rsidR="00AA4773" w:rsidRPr="004B2AE6">
        <w:rPr>
          <w:sz w:val="24"/>
          <w:szCs w:val="24"/>
        </w:rPr>
        <w:t xml:space="preserve">. The new segmentation of the government bond market </w:t>
      </w:r>
      <w:r w:rsidR="00B03975">
        <w:rPr>
          <w:sz w:val="24"/>
          <w:szCs w:val="24"/>
        </w:rPr>
        <w:t>appears to generate substantial additional diversification opportunities for low risk investors, such as pension funds and pure fixed income investors.</w:t>
      </w:r>
    </w:p>
    <w:p w:rsidR="00B06C72" w:rsidRPr="004B2AE6" w:rsidRDefault="00B03975" w:rsidP="000059BD">
      <w:pPr>
        <w:spacing w:line="360" w:lineRule="auto"/>
        <w:ind w:firstLine="360"/>
        <w:contextualSpacing/>
        <w:jc w:val="both"/>
        <w:rPr>
          <w:sz w:val="24"/>
          <w:szCs w:val="24"/>
        </w:rPr>
      </w:pPr>
      <w:r>
        <w:rPr>
          <w:sz w:val="24"/>
          <w:szCs w:val="24"/>
        </w:rPr>
        <w:t>B</w:t>
      </w:r>
      <w:r w:rsidR="007F3338" w:rsidRPr="004B2AE6">
        <w:rPr>
          <w:sz w:val="24"/>
          <w:szCs w:val="24"/>
        </w:rPr>
        <w:t>oth credit and liquidity risks are important factors in explaining the variation of sovereign bond returns</w:t>
      </w:r>
      <w:r w:rsidR="00C948C0" w:rsidRPr="004B2AE6">
        <w:rPr>
          <w:sz w:val="24"/>
          <w:szCs w:val="24"/>
        </w:rPr>
        <w:t>.</w:t>
      </w:r>
      <w:r w:rsidR="00240483" w:rsidRPr="004B2AE6">
        <w:rPr>
          <w:sz w:val="24"/>
          <w:szCs w:val="24"/>
        </w:rPr>
        <w:t xml:space="preserve"> </w:t>
      </w:r>
      <w:r w:rsidR="00C948C0" w:rsidRPr="004B2AE6">
        <w:rPr>
          <w:sz w:val="24"/>
          <w:szCs w:val="24"/>
        </w:rPr>
        <w:t>Credit risk, proxied by changes in the country specific 5 year CDS spread,</w:t>
      </w:r>
      <w:r w:rsidR="00C548AE" w:rsidRPr="004B2AE6">
        <w:rPr>
          <w:sz w:val="24"/>
          <w:szCs w:val="24"/>
        </w:rPr>
        <w:t xml:space="preserve"> can explain as much as 43% of the variation in bond prices and behaves differently depending on the perceived creditworthiness of the country. If the country has a low probability of default, then credit impacts positively bond returns. </w:t>
      </w:r>
      <w:r w:rsidR="00855CD1">
        <w:rPr>
          <w:sz w:val="24"/>
          <w:szCs w:val="24"/>
        </w:rPr>
        <w:t>F</w:t>
      </w:r>
      <w:r w:rsidR="00C548AE" w:rsidRPr="004B2AE6">
        <w:rPr>
          <w:sz w:val="24"/>
          <w:szCs w:val="24"/>
        </w:rPr>
        <w:t xml:space="preserve">or </w:t>
      </w:r>
      <w:r w:rsidR="00855CD1">
        <w:rPr>
          <w:sz w:val="24"/>
          <w:szCs w:val="24"/>
        </w:rPr>
        <w:t xml:space="preserve">high risk </w:t>
      </w:r>
      <w:r w:rsidR="00C548AE" w:rsidRPr="004B2AE6">
        <w:rPr>
          <w:sz w:val="24"/>
          <w:szCs w:val="24"/>
        </w:rPr>
        <w:t>countries</w:t>
      </w:r>
      <w:r w:rsidR="00855CD1">
        <w:rPr>
          <w:sz w:val="24"/>
          <w:szCs w:val="24"/>
        </w:rPr>
        <w:t xml:space="preserve"> the impact is negative</w:t>
      </w:r>
      <w:r w:rsidR="00C548AE" w:rsidRPr="004B2AE6">
        <w:rPr>
          <w:sz w:val="24"/>
          <w:szCs w:val="24"/>
        </w:rPr>
        <w:t xml:space="preserve">. This </w:t>
      </w:r>
      <w:r w:rsidR="00855CD1">
        <w:rPr>
          <w:sz w:val="24"/>
          <w:szCs w:val="24"/>
        </w:rPr>
        <w:t>suggests a</w:t>
      </w:r>
      <w:r w:rsidR="00C548AE" w:rsidRPr="004B2AE6">
        <w:rPr>
          <w:sz w:val="24"/>
          <w:szCs w:val="24"/>
        </w:rPr>
        <w:t xml:space="preserve"> f</w:t>
      </w:r>
      <w:r w:rsidR="00AA4773" w:rsidRPr="004B2AE6">
        <w:rPr>
          <w:sz w:val="24"/>
          <w:szCs w:val="24"/>
        </w:rPr>
        <w:t>l</w:t>
      </w:r>
      <w:r w:rsidR="00C548AE" w:rsidRPr="004B2AE6">
        <w:rPr>
          <w:sz w:val="24"/>
          <w:szCs w:val="24"/>
        </w:rPr>
        <w:t xml:space="preserve">ight-to-quality </w:t>
      </w:r>
      <w:r w:rsidR="00277569">
        <w:rPr>
          <w:sz w:val="24"/>
          <w:szCs w:val="24"/>
        </w:rPr>
        <w:t>within the bond market</w:t>
      </w:r>
      <w:r w:rsidR="00DF68E6">
        <w:rPr>
          <w:sz w:val="24"/>
          <w:szCs w:val="24"/>
        </w:rPr>
        <w:t xml:space="preserve"> of a monetary union which is clearly suggested by the difference in sign of the credit risk variable</w:t>
      </w:r>
      <w:r w:rsidR="00C548AE" w:rsidRPr="004B2AE6">
        <w:rPr>
          <w:sz w:val="24"/>
          <w:szCs w:val="24"/>
        </w:rPr>
        <w:t>.</w:t>
      </w:r>
      <w:r w:rsidR="00855CD1">
        <w:rPr>
          <w:sz w:val="24"/>
          <w:szCs w:val="24"/>
        </w:rPr>
        <w:t xml:space="preserve"> </w:t>
      </w:r>
      <w:r w:rsidR="009C0394" w:rsidRPr="004B2AE6">
        <w:rPr>
          <w:sz w:val="24"/>
          <w:szCs w:val="24"/>
        </w:rPr>
        <w:t>The other main risk factor, liquidity risk, seems only to affect distressed count</w:t>
      </w:r>
      <w:r w:rsidR="00AA4773" w:rsidRPr="004B2AE6">
        <w:rPr>
          <w:sz w:val="24"/>
          <w:szCs w:val="24"/>
        </w:rPr>
        <w:t>r</w:t>
      </w:r>
      <w:r w:rsidR="009C0394" w:rsidRPr="004B2AE6">
        <w:rPr>
          <w:sz w:val="24"/>
          <w:szCs w:val="24"/>
        </w:rPr>
        <w:t xml:space="preserve">ies. The proxy </w:t>
      </w:r>
      <w:r w:rsidR="00277569">
        <w:rPr>
          <w:sz w:val="24"/>
          <w:szCs w:val="24"/>
        </w:rPr>
        <w:t xml:space="preserve">we </w:t>
      </w:r>
      <w:r w:rsidR="009C0394" w:rsidRPr="004B2AE6">
        <w:rPr>
          <w:sz w:val="24"/>
          <w:szCs w:val="24"/>
        </w:rPr>
        <w:t xml:space="preserve">use, changes in the pSPR, can explain </w:t>
      </w:r>
      <w:r w:rsidR="00277569">
        <w:rPr>
          <w:sz w:val="24"/>
          <w:szCs w:val="24"/>
        </w:rPr>
        <w:t xml:space="preserve">only </w:t>
      </w:r>
      <w:r w:rsidR="009C0394" w:rsidRPr="004B2AE6">
        <w:rPr>
          <w:sz w:val="24"/>
          <w:szCs w:val="24"/>
        </w:rPr>
        <w:t>4% of bond price movements</w:t>
      </w:r>
      <w:r w:rsidR="00A45413" w:rsidRPr="004B2AE6">
        <w:rPr>
          <w:sz w:val="24"/>
          <w:szCs w:val="24"/>
        </w:rPr>
        <w:t>.</w:t>
      </w:r>
    </w:p>
    <w:p w:rsidR="00FF45AD" w:rsidRPr="004B2AE6" w:rsidRDefault="00FF45AD" w:rsidP="000059BD">
      <w:pPr>
        <w:spacing w:line="360" w:lineRule="auto"/>
        <w:ind w:firstLine="360"/>
        <w:contextualSpacing/>
        <w:jc w:val="both"/>
        <w:rPr>
          <w:sz w:val="24"/>
          <w:szCs w:val="24"/>
        </w:rPr>
      </w:pPr>
      <w:r w:rsidRPr="004B2AE6">
        <w:rPr>
          <w:sz w:val="24"/>
          <w:szCs w:val="24"/>
        </w:rPr>
        <w:t>Over the last two years</w:t>
      </w:r>
      <w:r w:rsidR="003A6B35">
        <w:rPr>
          <w:sz w:val="24"/>
          <w:szCs w:val="24"/>
        </w:rPr>
        <w:t xml:space="preserve"> of our sample period</w:t>
      </w:r>
      <w:r w:rsidRPr="004B2AE6">
        <w:rPr>
          <w:sz w:val="24"/>
          <w:szCs w:val="24"/>
        </w:rPr>
        <w:t xml:space="preserve">, 2012 and 2013, both credit and liquidity risk </w:t>
      </w:r>
      <w:r w:rsidR="00D411C3" w:rsidRPr="004B2AE6">
        <w:rPr>
          <w:sz w:val="24"/>
          <w:szCs w:val="24"/>
        </w:rPr>
        <w:t>show signs of recovery. The 5</w:t>
      </w:r>
      <w:r w:rsidR="00AA4773" w:rsidRPr="004B2AE6">
        <w:rPr>
          <w:sz w:val="24"/>
          <w:szCs w:val="24"/>
        </w:rPr>
        <w:t>-</w:t>
      </w:r>
      <w:r w:rsidR="00D411C3" w:rsidRPr="004B2AE6">
        <w:rPr>
          <w:sz w:val="24"/>
          <w:szCs w:val="24"/>
        </w:rPr>
        <w:t xml:space="preserve">year CDS and proportional bid-ask spreads for each country have decreases to </w:t>
      </w:r>
      <w:r w:rsidR="003A6B35">
        <w:rPr>
          <w:sz w:val="24"/>
          <w:szCs w:val="24"/>
        </w:rPr>
        <w:t xml:space="preserve">more normal </w:t>
      </w:r>
      <w:r w:rsidR="00D411C3" w:rsidRPr="004B2AE6">
        <w:rPr>
          <w:sz w:val="24"/>
          <w:szCs w:val="24"/>
        </w:rPr>
        <w:t xml:space="preserve">levels. Liquidity risk seems to have largely disappeared. Italy is </w:t>
      </w:r>
      <w:r w:rsidR="00305D36" w:rsidRPr="004B2AE6">
        <w:rPr>
          <w:sz w:val="24"/>
          <w:szCs w:val="24"/>
        </w:rPr>
        <w:t>t</w:t>
      </w:r>
      <w:r w:rsidR="00D411C3" w:rsidRPr="004B2AE6">
        <w:rPr>
          <w:sz w:val="24"/>
          <w:szCs w:val="24"/>
        </w:rPr>
        <w:t xml:space="preserve">he only exception where the proportional bid-ask spread still has an effect, although diminished, on bond returns. The </w:t>
      </w:r>
      <w:r w:rsidR="00305D36" w:rsidRPr="004B2AE6">
        <w:rPr>
          <w:sz w:val="24"/>
          <w:szCs w:val="24"/>
        </w:rPr>
        <w:t>explanatory power</w:t>
      </w:r>
      <w:r w:rsidR="00D411C3" w:rsidRPr="004B2AE6">
        <w:rPr>
          <w:sz w:val="24"/>
          <w:szCs w:val="24"/>
        </w:rPr>
        <w:t xml:space="preserve"> of</w:t>
      </w:r>
      <w:r w:rsidR="00305D36" w:rsidRPr="004B2AE6">
        <w:rPr>
          <w:sz w:val="24"/>
          <w:szCs w:val="24"/>
        </w:rPr>
        <w:t xml:space="preserve"> the</w:t>
      </w:r>
      <w:r w:rsidR="00D411C3" w:rsidRPr="004B2AE6">
        <w:rPr>
          <w:sz w:val="24"/>
          <w:szCs w:val="24"/>
        </w:rPr>
        <w:t xml:space="preserve"> credit risk</w:t>
      </w:r>
      <w:r w:rsidR="00305D36" w:rsidRPr="004B2AE6">
        <w:rPr>
          <w:sz w:val="24"/>
          <w:szCs w:val="24"/>
        </w:rPr>
        <w:t xml:space="preserve"> factor</w:t>
      </w:r>
      <w:r w:rsidR="00D411C3" w:rsidRPr="004B2AE6">
        <w:rPr>
          <w:sz w:val="24"/>
          <w:szCs w:val="24"/>
        </w:rPr>
        <w:t xml:space="preserve"> has also</w:t>
      </w:r>
      <w:r w:rsidR="00305D36" w:rsidRPr="004B2AE6">
        <w:rPr>
          <w:sz w:val="24"/>
          <w:szCs w:val="24"/>
        </w:rPr>
        <w:t xml:space="preserve"> decreased for</w:t>
      </w:r>
      <w:r w:rsidR="00D411C3" w:rsidRPr="004B2AE6">
        <w:rPr>
          <w:sz w:val="24"/>
          <w:szCs w:val="24"/>
        </w:rPr>
        <w:t xml:space="preserve"> </w:t>
      </w:r>
      <w:r w:rsidR="00305D36" w:rsidRPr="004B2AE6">
        <w:rPr>
          <w:sz w:val="24"/>
          <w:szCs w:val="24"/>
        </w:rPr>
        <w:t xml:space="preserve">all countries in the sample, </w:t>
      </w:r>
      <w:r w:rsidR="003A6B35">
        <w:rPr>
          <w:sz w:val="24"/>
          <w:szCs w:val="24"/>
        </w:rPr>
        <w:t xml:space="preserve">with the exception of </w:t>
      </w:r>
      <w:r w:rsidR="00305D36" w:rsidRPr="004B2AE6">
        <w:rPr>
          <w:sz w:val="24"/>
          <w:szCs w:val="24"/>
        </w:rPr>
        <w:t xml:space="preserve">Spain and Italy. Although this evidence suggests the sovereign debt crisis </w:t>
      </w:r>
      <w:r w:rsidR="00DF1088">
        <w:rPr>
          <w:sz w:val="24"/>
          <w:szCs w:val="24"/>
        </w:rPr>
        <w:t>is subsiding there is also evidence that the government bonds of more countries are being influenced by credit factors (</w:t>
      </w:r>
      <w:r w:rsidR="00305D36" w:rsidRPr="004B2AE6">
        <w:rPr>
          <w:sz w:val="24"/>
          <w:szCs w:val="24"/>
        </w:rPr>
        <w:t>Austria, Belgium and France</w:t>
      </w:r>
      <w:r w:rsidR="00DF1088">
        <w:rPr>
          <w:sz w:val="24"/>
          <w:szCs w:val="24"/>
        </w:rPr>
        <w:t>). The picture that emerges is one where sovereign default risk is falling by spreading which calls for continued efforts on the part of governments and monetary authority to keep a watchful eye</w:t>
      </w:r>
      <w:r w:rsidR="00335EAA" w:rsidRPr="004B2AE6">
        <w:rPr>
          <w:sz w:val="24"/>
          <w:szCs w:val="24"/>
        </w:rPr>
        <w:t xml:space="preserve">. </w:t>
      </w:r>
    </w:p>
    <w:p w:rsidR="00632FA5" w:rsidRPr="004B2AE6" w:rsidRDefault="00632FA5" w:rsidP="00BE50DA">
      <w:pPr>
        <w:contextualSpacing/>
        <w:rPr>
          <w:sz w:val="24"/>
          <w:szCs w:val="24"/>
        </w:rPr>
      </w:pPr>
    </w:p>
    <w:p w:rsidR="004C6A18" w:rsidRDefault="004C6A18" w:rsidP="00BE50DA">
      <w:pPr>
        <w:pStyle w:val="Default"/>
        <w:contextualSpacing/>
        <w:rPr>
          <w:rFonts w:ascii="TTdcr10" w:hAnsi="TTdcr10" w:cs="TTdcr10"/>
          <w:color w:val="auto"/>
        </w:rPr>
      </w:pPr>
    </w:p>
    <w:p w:rsidR="003713E8" w:rsidRDefault="003713E8" w:rsidP="000F54BD">
      <w:pPr>
        <w:pStyle w:val="Default"/>
        <w:rPr>
          <w:rFonts w:ascii="TTdcr10" w:hAnsi="TTdcr10" w:cs="TTdcr10"/>
          <w:color w:val="auto"/>
        </w:rPr>
        <w:sectPr w:rsidR="003713E8" w:rsidSect="00670AC1">
          <w:footnotePr>
            <w:numRestart w:val="eachSect"/>
          </w:footnotePr>
          <w:type w:val="continuous"/>
          <w:pgSz w:w="11906" w:h="16838"/>
          <w:pgMar w:top="1440" w:right="1440" w:bottom="1440" w:left="1440" w:header="708" w:footer="708" w:gutter="0"/>
          <w:cols w:space="708"/>
          <w:docGrid w:linePitch="360"/>
        </w:sectPr>
      </w:pPr>
    </w:p>
    <w:p w:rsidR="003713E8" w:rsidRDefault="003713E8" w:rsidP="000F54BD">
      <w:pPr>
        <w:pStyle w:val="Default"/>
        <w:rPr>
          <w:rFonts w:ascii="TTdcr10" w:hAnsi="TTdcr10" w:cs="TTdcr10"/>
          <w:color w:val="auto"/>
        </w:rPr>
      </w:pPr>
    </w:p>
    <w:tbl>
      <w:tblPr>
        <w:tblW w:w="0" w:type="auto"/>
        <w:jc w:val="center"/>
        <w:tblInd w:w="93" w:type="dxa"/>
        <w:tblLook w:val="04A0" w:firstRow="1" w:lastRow="0" w:firstColumn="1" w:lastColumn="0" w:noHBand="0" w:noVBand="1"/>
      </w:tblPr>
      <w:tblGrid>
        <w:gridCol w:w="1531"/>
        <w:gridCol w:w="1077"/>
        <w:gridCol w:w="236"/>
        <w:gridCol w:w="1361"/>
        <w:gridCol w:w="236"/>
        <w:gridCol w:w="1361"/>
        <w:gridCol w:w="236"/>
        <w:gridCol w:w="1361"/>
        <w:gridCol w:w="236"/>
        <w:gridCol w:w="1361"/>
      </w:tblGrid>
      <w:tr w:rsidR="003713E8" w:rsidRPr="00731DD1" w:rsidTr="002C42CE">
        <w:trPr>
          <w:trHeight w:val="300"/>
          <w:jc w:val="center"/>
        </w:trPr>
        <w:tc>
          <w:tcPr>
            <w:tcW w:w="8996" w:type="dxa"/>
            <w:gridSpan w:val="10"/>
            <w:shd w:val="clear" w:color="auto" w:fill="auto"/>
            <w:noWrap/>
            <w:vAlign w:val="center"/>
          </w:tcPr>
          <w:p w:rsidR="003713E8" w:rsidRDefault="003713E8" w:rsidP="002C42CE">
            <w:pPr>
              <w:spacing w:after="0" w:line="240" w:lineRule="auto"/>
              <w:jc w:val="center"/>
              <w:rPr>
                <w:rFonts w:ascii="Calibri" w:eastAsia="Times New Roman" w:hAnsi="Calibri" w:cs="Times New Roman"/>
                <w:b/>
                <w:color w:val="000000"/>
                <w:sz w:val="20"/>
                <w:lang w:eastAsia="en-GB"/>
              </w:rPr>
            </w:pPr>
            <w:r w:rsidRPr="00905568">
              <w:rPr>
                <w:rFonts w:ascii="Calibri" w:eastAsia="Times New Roman" w:hAnsi="Calibri" w:cs="Times New Roman"/>
                <w:b/>
                <w:color w:val="000000"/>
                <w:sz w:val="20"/>
                <w:lang w:eastAsia="en-GB"/>
              </w:rPr>
              <w:t xml:space="preserve">Table </w:t>
            </w:r>
            <w:r>
              <w:rPr>
                <w:rFonts w:ascii="Calibri" w:eastAsia="Times New Roman" w:hAnsi="Calibri" w:cs="Times New Roman"/>
                <w:b/>
                <w:color w:val="000000"/>
                <w:sz w:val="20"/>
                <w:lang w:eastAsia="en-GB"/>
              </w:rPr>
              <w:t>I</w:t>
            </w:r>
          </w:p>
          <w:p w:rsidR="003713E8" w:rsidRPr="00905568" w:rsidRDefault="003713E8" w:rsidP="002C42CE">
            <w:pPr>
              <w:spacing w:after="0" w:line="240" w:lineRule="auto"/>
              <w:jc w:val="center"/>
              <w:rPr>
                <w:rFonts w:ascii="Calibri" w:eastAsia="Times New Roman" w:hAnsi="Calibri" w:cs="Times New Roman"/>
                <w:b/>
                <w:color w:val="000000"/>
                <w:lang w:eastAsia="en-GB"/>
              </w:rPr>
            </w:pPr>
            <w:r>
              <w:rPr>
                <w:rFonts w:ascii="Calibri" w:eastAsia="Times New Roman" w:hAnsi="Calibri" w:cs="Times New Roman"/>
                <w:b/>
                <w:color w:val="000000"/>
                <w:lang w:eastAsia="en-GB"/>
              </w:rPr>
              <w:t xml:space="preserve">Correlation of sovereign bond and stock returns </w:t>
            </w:r>
          </w:p>
        </w:tc>
      </w:tr>
      <w:tr w:rsidR="003713E8" w:rsidRPr="00731DD1" w:rsidTr="002C42CE">
        <w:trPr>
          <w:trHeight w:val="300"/>
          <w:jc w:val="center"/>
        </w:trPr>
        <w:tc>
          <w:tcPr>
            <w:tcW w:w="8996" w:type="dxa"/>
            <w:gridSpan w:val="10"/>
            <w:tcBorders>
              <w:bottom w:val="single" w:sz="4" w:space="0" w:color="auto"/>
            </w:tcBorders>
            <w:shd w:val="clear" w:color="auto" w:fill="auto"/>
            <w:noWrap/>
            <w:vAlign w:val="bottom"/>
          </w:tcPr>
          <w:p w:rsidR="003713E8" w:rsidRDefault="003713E8" w:rsidP="002C42CE">
            <w:pPr>
              <w:spacing w:after="0" w:line="240" w:lineRule="auto"/>
              <w:rPr>
                <w:rFonts w:ascii="Calibri" w:eastAsia="Times New Roman" w:hAnsi="Calibri" w:cs="Times New Roman"/>
                <w:color w:val="000000"/>
                <w:lang w:eastAsia="en-GB"/>
              </w:rPr>
            </w:pPr>
            <w:r w:rsidRPr="00905568">
              <w:rPr>
                <w:rFonts w:ascii="Calibri" w:eastAsia="Times New Roman" w:hAnsi="Calibri" w:cs="Times New Roman"/>
                <w:color w:val="000000"/>
                <w:sz w:val="20"/>
                <w:lang w:eastAsia="en-GB"/>
              </w:rPr>
              <w:t xml:space="preserve">This table </w:t>
            </w:r>
            <w:r>
              <w:rPr>
                <w:rFonts w:ascii="Calibri" w:eastAsia="Times New Roman" w:hAnsi="Calibri" w:cs="Times New Roman"/>
                <w:color w:val="000000"/>
                <w:sz w:val="20"/>
                <w:lang w:eastAsia="en-GB"/>
              </w:rPr>
              <w:t xml:space="preserve">shows the signs of the correlations between sovereign bond returns and local stock returns for low and high risk countries over time. Low risk countries include Germany, Netherlands and Finland. High risk countries comprise Italy, Spain, Portugal Ireland and Greece. </w:t>
            </w:r>
            <w:r>
              <w:rPr>
                <w:rFonts w:ascii="Calibri" w:hAnsi="Calibri"/>
                <w:color w:val="000000"/>
                <w:sz w:val="20"/>
                <w:szCs w:val="20"/>
              </w:rPr>
              <w:t>Pre-crisis denotes the period from 01 Apr 2003 to 31</w:t>
            </w:r>
            <w:r w:rsidR="004D7599">
              <w:rPr>
                <w:rFonts w:ascii="Calibri" w:hAnsi="Calibri"/>
                <w:color w:val="000000"/>
                <w:sz w:val="20"/>
                <w:szCs w:val="20"/>
              </w:rPr>
              <w:t xml:space="preserve"> Aug 2007, subprime crisis from</w:t>
            </w:r>
            <w:r>
              <w:rPr>
                <w:rFonts w:ascii="Calibri" w:hAnsi="Calibri"/>
                <w:color w:val="000000"/>
                <w:sz w:val="20"/>
                <w:szCs w:val="20"/>
              </w:rPr>
              <w:t xml:space="preserve"> 01 Sep 2007 to 31 Dec 2009, sovereign debt crisis I from 01 Jan 2010 to 30 Dec 2011 and sovereign debt crisis II from 01 Jan 2012 to 31 Dec 2013.</w:t>
            </w:r>
          </w:p>
        </w:tc>
      </w:tr>
      <w:tr w:rsidR="003713E8" w:rsidRPr="00731DD1" w:rsidTr="002C42CE">
        <w:trPr>
          <w:trHeight w:val="300"/>
          <w:jc w:val="center"/>
        </w:trPr>
        <w:tc>
          <w:tcPr>
            <w:tcW w:w="1531" w:type="dxa"/>
            <w:tcBorders>
              <w:top w:val="single" w:sz="4" w:space="0" w:color="auto"/>
            </w:tcBorders>
            <w:shd w:val="clear" w:color="auto" w:fill="auto"/>
            <w:noWrap/>
            <w:vAlign w:val="bottom"/>
            <w:hideMark/>
          </w:tcPr>
          <w:p w:rsidR="003713E8" w:rsidRPr="00731DD1" w:rsidRDefault="003713E8" w:rsidP="002C42CE">
            <w:pPr>
              <w:spacing w:after="0" w:line="240" w:lineRule="auto"/>
              <w:rPr>
                <w:rFonts w:ascii="Calibri" w:eastAsia="Times New Roman" w:hAnsi="Calibri" w:cs="Times New Roman"/>
                <w:color w:val="000000"/>
                <w:lang w:eastAsia="en-GB"/>
              </w:rPr>
            </w:pPr>
          </w:p>
        </w:tc>
        <w:tc>
          <w:tcPr>
            <w:tcW w:w="1077" w:type="dxa"/>
            <w:tcBorders>
              <w:top w:val="single" w:sz="4" w:space="0" w:color="auto"/>
            </w:tcBorders>
            <w:shd w:val="clear" w:color="auto" w:fill="auto"/>
            <w:noWrap/>
            <w:vAlign w:val="bottom"/>
            <w:hideMark/>
          </w:tcPr>
          <w:p w:rsidR="003713E8" w:rsidRPr="00731DD1" w:rsidRDefault="003713E8" w:rsidP="002C42CE">
            <w:pPr>
              <w:spacing w:after="0" w:line="240" w:lineRule="auto"/>
              <w:rPr>
                <w:rFonts w:ascii="Calibri" w:eastAsia="Times New Roman" w:hAnsi="Calibri" w:cs="Times New Roman"/>
                <w:color w:val="000000"/>
                <w:lang w:eastAsia="en-GB"/>
              </w:rPr>
            </w:pPr>
          </w:p>
        </w:tc>
        <w:tc>
          <w:tcPr>
            <w:tcW w:w="236" w:type="dxa"/>
            <w:tcBorders>
              <w:top w:val="single" w:sz="4" w:space="0" w:color="auto"/>
            </w:tcBorders>
          </w:tcPr>
          <w:p w:rsidR="003713E8" w:rsidRPr="00731DD1" w:rsidRDefault="003713E8" w:rsidP="002C42CE">
            <w:pPr>
              <w:spacing w:after="0" w:line="240" w:lineRule="auto"/>
              <w:jc w:val="center"/>
              <w:rPr>
                <w:rFonts w:ascii="Calibri" w:eastAsia="Times New Roman" w:hAnsi="Calibri" w:cs="Times New Roman"/>
                <w:color w:val="000000"/>
                <w:lang w:eastAsia="en-GB"/>
              </w:rPr>
            </w:pPr>
          </w:p>
        </w:tc>
        <w:tc>
          <w:tcPr>
            <w:tcW w:w="1361" w:type="dxa"/>
            <w:tcBorders>
              <w:top w:val="single" w:sz="4" w:space="0" w:color="auto"/>
              <w:bottom w:val="single" w:sz="4" w:space="0" w:color="auto"/>
            </w:tcBorders>
            <w:shd w:val="clear" w:color="auto" w:fill="auto"/>
            <w:noWrap/>
            <w:vAlign w:val="center"/>
            <w:hideMark/>
          </w:tcPr>
          <w:p w:rsidR="003713E8" w:rsidRPr="00731DD1" w:rsidRDefault="003713E8" w:rsidP="002C42CE">
            <w:pPr>
              <w:spacing w:after="0" w:line="240" w:lineRule="auto"/>
              <w:jc w:val="center"/>
              <w:rPr>
                <w:rFonts w:ascii="Calibri" w:eastAsia="Times New Roman" w:hAnsi="Calibri" w:cs="Times New Roman"/>
                <w:color w:val="000000"/>
                <w:lang w:eastAsia="en-GB"/>
              </w:rPr>
            </w:pPr>
            <w:r w:rsidRPr="00731DD1">
              <w:rPr>
                <w:rFonts w:ascii="Calibri" w:eastAsia="Times New Roman" w:hAnsi="Calibri" w:cs="Times New Roman"/>
                <w:color w:val="000000"/>
                <w:lang w:eastAsia="en-GB"/>
              </w:rPr>
              <w:t>Pre-crisis</w:t>
            </w:r>
          </w:p>
        </w:tc>
        <w:tc>
          <w:tcPr>
            <w:tcW w:w="236" w:type="dxa"/>
            <w:tcBorders>
              <w:top w:val="single" w:sz="4" w:space="0" w:color="auto"/>
            </w:tcBorders>
          </w:tcPr>
          <w:p w:rsidR="003713E8" w:rsidRPr="00731DD1" w:rsidRDefault="003713E8" w:rsidP="002C42CE">
            <w:pPr>
              <w:spacing w:after="0" w:line="240" w:lineRule="auto"/>
              <w:jc w:val="center"/>
              <w:rPr>
                <w:rFonts w:ascii="Calibri" w:eastAsia="Times New Roman" w:hAnsi="Calibri" w:cs="Times New Roman"/>
                <w:color w:val="000000"/>
                <w:lang w:eastAsia="en-GB"/>
              </w:rPr>
            </w:pPr>
          </w:p>
        </w:tc>
        <w:tc>
          <w:tcPr>
            <w:tcW w:w="1361" w:type="dxa"/>
            <w:tcBorders>
              <w:top w:val="single" w:sz="4" w:space="0" w:color="auto"/>
              <w:bottom w:val="single" w:sz="4" w:space="0" w:color="auto"/>
            </w:tcBorders>
            <w:shd w:val="clear" w:color="auto" w:fill="auto"/>
            <w:noWrap/>
            <w:vAlign w:val="center"/>
            <w:hideMark/>
          </w:tcPr>
          <w:p w:rsidR="003713E8" w:rsidRPr="00731DD1" w:rsidRDefault="003713E8" w:rsidP="002C42CE">
            <w:pPr>
              <w:spacing w:after="0" w:line="240" w:lineRule="auto"/>
              <w:jc w:val="center"/>
              <w:rPr>
                <w:rFonts w:ascii="Calibri" w:eastAsia="Times New Roman" w:hAnsi="Calibri" w:cs="Times New Roman"/>
                <w:color w:val="000000"/>
                <w:lang w:eastAsia="en-GB"/>
              </w:rPr>
            </w:pPr>
            <w:r w:rsidRPr="00731DD1">
              <w:rPr>
                <w:rFonts w:ascii="Calibri" w:eastAsia="Times New Roman" w:hAnsi="Calibri" w:cs="Times New Roman"/>
                <w:color w:val="000000"/>
                <w:lang w:eastAsia="en-GB"/>
              </w:rPr>
              <w:t>Subprime</w:t>
            </w:r>
            <w:r>
              <w:rPr>
                <w:rFonts w:ascii="Calibri" w:eastAsia="Times New Roman" w:hAnsi="Calibri" w:cs="Times New Roman"/>
                <w:color w:val="000000"/>
                <w:lang w:eastAsia="en-GB"/>
              </w:rPr>
              <w:t xml:space="preserve"> crisis</w:t>
            </w:r>
          </w:p>
        </w:tc>
        <w:tc>
          <w:tcPr>
            <w:tcW w:w="236" w:type="dxa"/>
            <w:tcBorders>
              <w:top w:val="single" w:sz="4" w:space="0" w:color="auto"/>
            </w:tcBorders>
          </w:tcPr>
          <w:p w:rsidR="003713E8" w:rsidRDefault="003713E8" w:rsidP="002C42CE">
            <w:pPr>
              <w:spacing w:after="0" w:line="240" w:lineRule="auto"/>
              <w:jc w:val="center"/>
              <w:rPr>
                <w:rFonts w:ascii="Calibri" w:eastAsia="Times New Roman" w:hAnsi="Calibri" w:cs="Times New Roman"/>
                <w:color w:val="000000"/>
                <w:lang w:eastAsia="en-GB"/>
              </w:rPr>
            </w:pPr>
          </w:p>
        </w:tc>
        <w:tc>
          <w:tcPr>
            <w:tcW w:w="1361" w:type="dxa"/>
            <w:tcBorders>
              <w:top w:val="single" w:sz="4" w:space="0" w:color="auto"/>
              <w:bottom w:val="single" w:sz="4" w:space="0" w:color="auto"/>
            </w:tcBorders>
            <w:shd w:val="clear" w:color="auto" w:fill="auto"/>
            <w:noWrap/>
            <w:vAlign w:val="center"/>
            <w:hideMark/>
          </w:tcPr>
          <w:p w:rsidR="003713E8" w:rsidRPr="00731DD1" w:rsidRDefault="003713E8" w:rsidP="002C42CE">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Sovereign Debt Crisis I</w:t>
            </w:r>
          </w:p>
        </w:tc>
        <w:tc>
          <w:tcPr>
            <w:tcW w:w="236" w:type="dxa"/>
            <w:tcBorders>
              <w:top w:val="single" w:sz="4" w:space="0" w:color="auto"/>
            </w:tcBorders>
          </w:tcPr>
          <w:p w:rsidR="003713E8" w:rsidRDefault="003713E8" w:rsidP="002C42CE">
            <w:pPr>
              <w:spacing w:after="0" w:line="240" w:lineRule="auto"/>
              <w:jc w:val="center"/>
              <w:rPr>
                <w:rFonts w:ascii="Calibri" w:eastAsia="Times New Roman" w:hAnsi="Calibri" w:cs="Times New Roman"/>
                <w:color w:val="000000"/>
                <w:lang w:eastAsia="en-GB"/>
              </w:rPr>
            </w:pPr>
          </w:p>
        </w:tc>
        <w:tc>
          <w:tcPr>
            <w:tcW w:w="1361" w:type="dxa"/>
            <w:tcBorders>
              <w:top w:val="single" w:sz="4" w:space="0" w:color="auto"/>
              <w:bottom w:val="single" w:sz="4" w:space="0" w:color="auto"/>
            </w:tcBorders>
            <w:shd w:val="clear" w:color="auto" w:fill="auto"/>
            <w:noWrap/>
            <w:vAlign w:val="center"/>
            <w:hideMark/>
          </w:tcPr>
          <w:p w:rsidR="003713E8" w:rsidRPr="00731DD1" w:rsidRDefault="003713E8" w:rsidP="002C42CE">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Sovereign Debt Crisis II</w:t>
            </w:r>
          </w:p>
        </w:tc>
      </w:tr>
      <w:tr w:rsidR="003713E8" w:rsidRPr="00731DD1" w:rsidTr="002C42CE">
        <w:trPr>
          <w:trHeight w:val="300"/>
          <w:jc w:val="center"/>
        </w:trPr>
        <w:tc>
          <w:tcPr>
            <w:tcW w:w="2608" w:type="dxa"/>
            <w:gridSpan w:val="2"/>
            <w:shd w:val="clear" w:color="auto" w:fill="auto"/>
            <w:noWrap/>
            <w:vAlign w:val="bottom"/>
          </w:tcPr>
          <w:p w:rsidR="003713E8" w:rsidRPr="00731DD1" w:rsidRDefault="003713E8" w:rsidP="002C42CE">
            <w:pPr>
              <w:spacing w:after="0" w:line="240" w:lineRule="auto"/>
              <w:rPr>
                <w:rFonts w:ascii="Calibri" w:eastAsia="Times New Roman" w:hAnsi="Calibri" w:cs="Times New Roman"/>
                <w:color w:val="000000"/>
                <w:lang w:eastAsia="en-GB"/>
              </w:rPr>
            </w:pPr>
          </w:p>
          <w:p w:rsidR="003713E8" w:rsidRPr="00731DD1" w:rsidRDefault="003713E8" w:rsidP="002C42CE">
            <w:pPr>
              <w:spacing w:after="0" w:line="240" w:lineRule="auto"/>
              <w:rPr>
                <w:rFonts w:ascii="Calibri" w:eastAsia="Times New Roman" w:hAnsi="Calibri" w:cs="Times New Roman"/>
                <w:color w:val="000000"/>
                <w:lang w:eastAsia="en-GB"/>
              </w:rPr>
            </w:pPr>
            <w:r w:rsidRPr="00731DD1">
              <w:rPr>
                <w:rFonts w:ascii="Calibri" w:eastAsia="Times New Roman" w:hAnsi="Calibri" w:cs="Times New Roman"/>
                <w:color w:val="000000"/>
                <w:lang w:eastAsia="en-GB"/>
              </w:rPr>
              <w:t>Low Risk</w:t>
            </w:r>
            <w:r>
              <w:rPr>
                <w:rFonts w:ascii="Calibri" w:eastAsia="Times New Roman" w:hAnsi="Calibri" w:cs="Times New Roman"/>
                <w:color w:val="000000"/>
                <w:lang w:eastAsia="en-GB"/>
              </w:rPr>
              <w:t xml:space="preserve"> Countries</w:t>
            </w:r>
          </w:p>
        </w:tc>
        <w:tc>
          <w:tcPr>
            <w:tcW w:w="236" w:type="dxa"/>
          </w:tcPr>
          <w:p w:rsidR="003713E8" w:rsidRDefault="003713E8" w:rsidP="002C42CE">
            <w:pPr>
              <w:spacing w:after="0" w:line="240" w:lineRule="auto"/>
              <w:jc w:val="center"/>
              <w:rPr>
                <w:rFonts w:ascii="Calibri" w:eastAsia="Times New Roman" w:hAnsi="Calibri" w:cs="Times New Roman"/>
                <w:color w:val="000000"/>
                <w:lang w:eastAsia="en-GB"/>
              </w:rPr>
            </w:pPr>
          </w:p>
        </w:tc>
        <w:tc>
          <w:tcPr>
            <w:tcW w:w="1361" w:type="dxa"/>
            <w:shd w:val="clear" w:color="auto" w:fill="auto"/>
            <w:noWrap/>
            <w:vAlign w:val="center"/>
            <w:hideMark/>
          </w:tcPr>
          <w:p w:rsidR="003713E8" w:rsidRPr="00731DD1" w:rsidRDefault="003713E8" w:rsidP="002C42CE">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w:t>
            </w:r>
          </w:p>
        </w:tc>
        <w:tc>
          <w:tcPr>
            <w:tcW w:w="236" w:type="dxa"/>
          </w:tcPr>
          <w:p w:rsidR="003713E8" w:rsidRPr="00731DD1" w:rsidRDefault="003713E8" w:rsidP="002C42CE">
            <w:pPr>
              <w:spacing w:after="0" w:line="240" w:lineRule="auto"/>
              <w:jc w:val="center"/>
              <w:rPr>
                <w:rFonts w:ascii="Calibri" w:eastAsia="Times New Roman" w:hAnsi="Calibri" w:cs="Times New Roman"/>
                <w:color w:val="000000"/>
                <w:lang w:eastAsia="en-GB"/>
              </w:rPr>
            </w:pPr>
          </w:p>
        </w:tc>
        <w:tc>
          <w:tcPr>
            <w:tcW w:w="1361" w:type="dxa"/>
            <w:shd w:val="clear" w:color="auto" w:fill="auto"/>
            <w:noWrap/>
            <w:vAlign w:val="center"/>
            <w:hideMark/>
          </w:tcPr>
          <w:p w:rsidR="003713E8" w:rsidRPr="00731DD1" w:rsidRDefault="003713E8" w:rsidP="002C42CE">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w:t>
            </w:r>
          </w:p>
        </w:tc>
        <w:tc>
          <w:tcPr>
            <w:tcW w:w="236" w:type="dxa"/>
          </w:tcPr>
          <w:p w:rsidR="003713E8" w:rsidRPr="00731DD1" w:rsidRDefault="003713E8" w:rsidP="002C42CE">
            <w:pPr>
              <w:spacing w:after="0" w:line="240" w:lineRule="auto"/>
              <w:jc w:val="center"/>
              <w:rPr>
                <w:rFonts w:ascii="Calibri" w:eastAsia="Times New Roman" w:hAnsi="Calibri" w:cs="Times New Roman"/>
                <w:color w:val="000000"/>
                <w:lang w:eastAsia="en-GB"/>
              </w:rPr>
            </w:pPr>
          </w:p>
        </w:tc>
        <w:tc>
          <w:tcPr>
            <w:tcW w:w="1361" w:type="dxa"/>
            <w:shd w:val="clear" w:color="auto" w:fill="auto"/>
            <w:noWrap/>
            <w:vAlign w:val="center"/>
            <w:hideMark/>
          </w:tcPr>
          <w:p w:rsidR="003713E8" w:rsidRPr="00731DD1" w:rsidRDefault="003713E8" w:rsidP="002C42CE">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w:t>
            </w:r>
          </w:p>
        </w:tc>
        <w:tc>
          <w:tcPr>
            <w:tcW w:w="236" w:type="dxa"/>
          </w:tcPr>
          <w:p w:rsidR="003713E8" w:rsidRDefault="003713E8" w:rsidP="002C42CE">
            <w:pPr>
              <w:spacing w:after="0" w:line="240" w:lineRule="auto"/>
              <w:jc w:val="center"/>
              <w:rPr>
                <w:rFonts w:ascii="Calibri" w:eastAsia="Times New Roman" w:hAnsi="Calibri" w:cs="Times New Roman"/>
                <w:color w:val="000000"/>
                <w:lang w:eastAsia="en-GB"/>
              </w:rPr>
            </w:pPr>
          </w:p>
        </w:tc>
        <w:tc>
          <w:tcPr>
            <w:tcW w:w="1361" w:type="dxa"/>
            <w:shd w:val="clear" w:color="auto" w:fill="auto"/>
            <w:noWrap/>
            <w:vAlign w:val="center"/>
            <w:hideMark/>
          </w:tcPr>
          <w:p w:rsidR="003713E8" w:rsidRPr="00731DD1" w:rsidRDefault="003713E8" w:rsidP="002C42CE">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w:t>
            </w:r>
          </w:p>
        </w:tc>
      </w:tr>
      <w:tr w:rsidR="003713E8" w:rsidRPr="00731DD1" w:rsidTr="002C42CE">
        <w:trPr>
          <w:trHeight w:val="300"/>
          <w:jc w:val="center"/>
        </w:trPr>
        <w:tc>
          <w:tcPr>
            <w:tcW w:w="2608" w:type="dxa"/>
            <w:gridSpan w:val="2"/>
            <w:shd w:val="clear" w:color="auto" w:fill="auto"/>
            <w:noWrap/>
            <w:vAlign w:val="bottom"/>
            <w:hideMark/>
          </w:tcPr>
          <w:p w:rsidR="003713E8" w:rsidRPr="00731DD1" w:rsidRDefault="003713E8" w:rsidP="002C42CE">
            <w:pPr>
              <w:spacing w:after="0" w:line="240" w:lineRule="auto"/>
              <w:rPr>
                <w:rFonts w:ascii="Calibri" w:eastAsia="Times New Roman" w:hAnsi="Calibri" w:cs="Times New Roman"/>
                <w:color w:val="000000"/>
                <w:lang w:eastAsia="en-GB"/>
              </w:rPr>
            </w:pPr>
            <w:r w:rsidRPr="00731DD1">
              <w:rPr>
                <w:rFonts w:ascii="Calibri" w:eastAsia="Times New Roman" w:hAnsi="Calibri" w:cs="Times New Roman"/>
                <w:color w:val="000000"/>
                <w:lang w:eastAsia="en-GB"/>
              </w:rPr>
              <w:t>High Risk</w:t>
            </w:r>
            <w:r>
              <w:rPr>
                <w:rFonts w:ascii="Calibri" w:eastAsia="Times New Roman" w:hAnsi="Calibri" w:cs="Times New Roman"/>
                <w:color w:val="000000"/>
                <w:lang w:eastAsia="en-GB"/>
              </w:rPr>
              <w:t xml:space="preserve"> Countries</w:t>
            </w:r>
          </w:p>
        </w:tc>
        <w:tc>
          <w:tcPr>
            <w:tcW w:w="236" w:type="dxa"/>
          </w:tcPr>
          <w:p w:rsidR="003713E8" w:rsidRDefault="003713E8" w:rsidP="002C42CE">
            <w:pPr>
              <w:spacing w:after="0" w:line="240" w:lineRule="auto"/>
              <w:jc w:val="center"/>
              <w:rPr>
                <w:rFonts w:ascii="Calibri" w:eastAsia="Times New Roman" w:hAnsi="Calibri" w:cs="Times New Roman"/>
                <w:color w:val="000000"/>
                <w:lang w:eastAsia="en-GB"/>
              </w:rPr>
            </w:pPr>
          </w:p>
        </w:tc>
        <w:tc>
          <w:tcPr>
            <w:tcW w:w="1361" w:type="dxa"/>
            <w:shd w:val="clear" w:color="auto" w:fill="auto"/>
            <w:noWrap/>
            <w:vAlign w:val="center"/>
            <w:hideMark/>
          </w:tcPr>
          <w:p w:rsidR="003713E8" w:rsidRPr="00731DD1" w:rsidRDefault="003713E8" w:rsidP="002C42CE">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w:t>
            </w:r>
          </w:p>
        </w:tc>
        <w:tc>
          <w:tcPr>
            <w:tcW w:w="236" w:type="dxa"/>
          </w:tcPr>
          <w:p w:rsidR="003713E8" w:rsidRPr="00731DD1" w:rsidRDefault="003713E8" w:rsidP="002C42CE">
            <w:pPr>
              <w:spacing w:after="0" w:line="240" w:lineRule="auto"/>
              <w:jc w:val="center"/>
              <w:rPr>
                <w:rFonts w:ascii="Calibri" w:eastAsia="Times New Roman" w:hAnsi="Calibri" w:cs="Times New Roman"/>
                <w:color w:val="000000"/>
                <w:lang w:eastAsia="en-GB"/>
              </w:rPr>
            </w:pPr>
          </w:p>
        </w:tc>
        <w:tc>
          <w:tcPr>
            <w:tcW w:w="1361" w:type="dxa"/>
            <w:shd w:val="clear" w:color="auto" w:fill="auto"/>
            <w:noWrap/>
            <w:vAlign w:val="center"/>
            <w:hideMark/>
          </w:tcPr>
          <w:p w:rsidR="003713E8" w:rsidRPr="00731DD1" w:rsidRDefault="003713E8" w:rsidP="002C42CE">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w:t>
            </w:r>
          </w:p>
        </w:tc>
        <w:tc>
          <w:tcPr>
            <w:tcW w:w="236" w:type="dxa"/>
          </w:tcPr>
          <w:p w:rsidR="003713E8" w:rsidRDefault="003713E8" w:rsidP="002C42CE">
            <w:pPr>
              <w:spacing w:after="0" w:line="240" w:lineRule="auto"/>
              <w:jc w:val="center"/>
              <w:rPr>
                <w:rFonts w:ascii="Calibri" w:eastAsia="Times New Roman" w:hAnsi="Calibri" w:cs="Times New Roman"/>
                <w:color w:val="000000"/>
                <w:lang w:eastAsia="en-GB"/>
              </w:rPr>
            </w:pPr>
          </w:p>
        </w:tc>
        <w:tc>
          <w:tcPr>
            <w:tcW w:w="1361" w:type="dxa"/>
            <w:shd w:val="clear" w:color="auto" w:fill="auto"/>
            <w:noWrap/>
            <w:vAlign w:val="center"/>
            <w:hideMark/>
          </w:tcPr>
          <w:p w:rsidR="003713E8" w:rsidRPr="00731DD1" w:rsidRDefault="003713E8" w:rsidP="002C42CE">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w:t>
            </w:r>
          </w:p>
        </w:tc>
        <w:tc>
          <w:tcPr>
            <w:tcW w:w="236" w:type="dxa"/>
          </w:tcPr>
          <w:p w:rsidR="003713E8" w:rsidRPr="00731DD1" w:rsidRDefault="003713E8" w:rsidP="002C42CE">
            <w:pPr>
              <w:spacing w:after="0" w:line="240" w:lineRule="auto"/>
              <w:jc w:val="center"/>
              <w:rPr>
                <w:rFonts w:ascii="Calibri" w:eastAsia="Times New Roman" w:hAnsi="Calibri" w:cs="Times New Roman"/>
                <w:color w:val="000000"/>
                <w:lang w:eastAsia="en-GB"/>
              </w:rPr>
            </w:pPr>
          </w:p>
        </w:tc>
        <w:tc>
          <w:tcPr>
            <w:tcW w:w="1361" w:type="dxa"/>
            <w:shd w:val="clear" w:color="auto" w:fill="auto"/>
            <w:noWrap/>
            <w:vAlign w:val="center"/>
            <w:hideMark/>
          </w:tcPr>
          <w:p w:rsidR="003713E8" w:rsidRPr="00731DD1" w:rsidRDefault="003713E8" w:rsidP="002C42CE">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w:t>
            </w:r>
          </w:p>
        </w:tc>
      </w:tr>
    </w:tbl>
    <w:p w:rsidR="003713E8" w:rsidRDefault="003713E8" w:rsidP="000F54BD">
      <w:pPr>
        <w:pStyle w:val="Default"/>
        <w:rPr>
          <w:rFonts w:ascii="TTdcr10" w:hAnsi="TTdcr10" w:cs="TTdcr10"/>
          <w:color w:val="auto"/>
        </w:rPr>
      </w:pPr>
    </w:p>
    <w:p w:rsidR="003713E8" w:rsidRDefault="003713E8" w:rsidP="000F54BD">
      <w:pPr>
        <w:pStyle w:val="Default"/>
        <w:rPr>
          <w:rFonts w:ascii="TTdcr10" w:hAnsi="TTdcr10" w:cs="TTdcr10"/>
          <w:color w:val="auto"/>
        </w:rPr>
      </w:pPr>
    </w:p>
    <w:p w:rsidR="003713E8" w:rsidRDefault="003713E8" w:rsidP="000F54BD">
      <w:pPr>
        <w:pStyle w:val="Default"/>
        <w:rPr>
          <w:rFonts w:ascii="TTdcr10" w:hAnsi="TTdcr10" w:cs="TTdcr10"/>
          <w:color w:val="auto"/>
        </w:rPr>
      </w:pPr>
    </w:p>
    <w:p w:rsidR="003713E8" w:rsidRDefault="003713E8" w:rsidP="000F54BD">
      <w:pPr>
        <w:pStyle w:val="Default"/>
        <w:rPr>
          <w:rFonts w:ascii="TTdcr10" w:hAnsi="TTdcr10" w:cs="TTdcr10"/>
          <w:color w:val="auto"/>
        </w:rPr>
      </w:pPr>
    </w:p>
    <w:p w:rsidR="003713E8" w:rsidRDefault="003713E8" w:rsidP="000F54BD">
      <w:pPr>
        <w:pStyle w:val="Default"/>
        <w:rPr>
          <w:rFonts w:ascii="TTdcr10" w:hAnsi="TTdcr10" w:cs="TTdcr10"/>
          <w:color w:val="auto"/>
        </w:rPr>
      </w:pPr>
    </w:p>
    <w:p w:rsidR="003713E8" w:rsidRDefault="003713E8" w:rsidP="000F54BD">
      <w:pPr>
        <w:pStyle w:val="Default"/>
        <w:rPr>
          <w:rFonts w:ascii="TTdcr10" w:hAnsi="TTdcr10" w:cs="TTdcr10"/>
          <w:color w:val="auto"/>
        </w:rPr>
      </w:pPr>
    </w:p>
    <w:p w:rsidR="003713E8" w:rsidRDefault="003713E8" w:rsidP="000F54BD">
      <w:pPr>
        <w:pStyle w:val="Default"/>
        <w:rPr>
          <w:rFonts w:ascii="TTdcr10" w:hAnsi="TTdcr10" w:cs="TTdcr10"/>
          <w:color w:val="auto"/>
        </w:rPr>
      </w:pPr>
    </w:p>
    <w:p w:rsidR="003713E8" w:rsidRDefault="003713E8" w:rsidP="000F54BD">
      <w:pPr>
        <w:pStyle w:val="Default"/>
        <w:rPr>
          <w:rFonts w:ascii="TTdcr10" w:hAnsi="TTdcr10" w:cs="TTdcr10"/>
          <w:color w:val="auto"/>
        </w:rPr>
      </w:pPr>
    </w:p>
    <w:p w:rsidR="00137030" w:rsidRDefault="00137030" w:rsidP="000F54BD">
      <w:pPr>
        <w:pStyle w:val="Default"/>
        <w:rPr>
          <w:rFonts w:ascii="TTdcr10" w:hAnsi="TTdcr10" w:cs="TTdcr10"/>
          <w:color w:val="auto"/>
        </w:rPr>
      </w:pPr>
    </w:p>
    <w:p w:rsidR="00137030" w:rsidRDefault="00137030" w:rsidP="000F54BD">
      <w:pPr>
        <w:pStyle w:val="Default"/>
        <w:rPr>
          <w:rFonts w:ascii="TTdcr10" w:hAnsi="TTdcr10" w:cs="TTdcr10"/>
          <w:color w:val="auto"/>
        </w:rPr>
      </w:pPr>
    </w:p>
    <w:p w:rsidR="00137030" w:rsidRDefault="00137030" w:rsidP="000F54BD">
      <w:pPr>
        <w:pStyle w:val="Default"/>
        <w:rPr>
          <w:rFonts w:ascii="TTdcr10" w:hAnsi="TTdcr10" w:cs="TTdcr10"/>
          <w:color w:val="auto"/>
        </w:rPr>
      </w:pPr>
    </w:p>
    <w:p w:rsidR="00137030" w:rsidRDefault="00137030" w:rsidP="000F54BD">
      <w:pPr>
        <w:pStyle w:val="Default"/>
        <w:rPr>
          <w:rFonts w:ascii="TTdcr10" w:hAnsi="TTdcr10" w:cs="TTdcr10"/>
          <w:color w:val="auto"/>
        </w:rPr>
      </w:pPr>
    </w:p>
    <w:p w:rsidR="00137030" w:rsidRDefault="00137030" w:rsidP="000F54BD">
      <w:pPr>
        <w:pStyle w:val="Default"/>
        <w:rPr>
          <w:rFonts w:ascii="TTdcr10" w:hAnsi="TTdcr10" w:cs="TTdcr10"/>
          <w:color w:val="auto"/>
        </w:rPr>
      </w:pPr>
    </w:p>
    <w:p w:rsidR="00137030" w:rsidRDefault="00137030" w:rsidP="000F54BD">
      <w:pPr>
        <w:pStyle w:val="Default"/>
        <w:rPr>
          <w:rFonts w:ascii="TTdcr10" w:hAnsi="TTdcr10" w:cs="TTdcr10"/>
          <w:color w:val="auto"/>
        </w:rPr>
      </w:pPr>
    </w:p>
    <w:p w:rsidR="00137030" w:rsidRDefault="00137030" w:rsidP="000F54BD">
      <w:pPr>
        <w:pStyle w:val="Default"/>
        <w:rPr>
          <w:rFonts w:ascii="TTdcr10" w:hAnsi="TTdcr10" w:cs="TTdcr10"/>
          <w:color w:val="auto"/>
        </w:rPr>
      </w:pPr>
    </w:p>
    <w:p w:rsidR="00137030" w:rsidRDefault="00137030" w:rsidP="000F54BD">
      <w:pPr>
        <w:pStyle w:val="Default"/>
        <w:rPr>
          <w:rFonts w:ascii="TTdcr10" w:hAnsi="TTdcr10" w:cs="TTdcr10"/>
          <w:color w:val="auto"/>
        </w:rPr>
      </w:pPr>
    </w:p>
    <w:p w:rsidR="00137030" w:rsidRDefault="00137030" w:rsidP="000F54BD">
      <w:pPr>
        <w:pStyle w:val="Default"/>
        <w:rPr>
          <w:rFonts w:ascii="TTdcr10" w:hAnsi="TTdcr10" w:cs="TTdcr10"/>
          <w:color w:val="auto"/>
        </w:rPr>
      </w:pPr>
    </w:p>
    <w:p w:rsidR="00137030" w:rsidRDefault="00137030" w:rsidP="000F54BD">
      <w:pPr>
        <w:pStyle w:val="Default"/>
        <w:rPr>
          <w:rFonts w:ascii="TTdcr10" w:hAnsi="TTdcr10" w:cs="TTdcr10"/>
          <w:color w:val="auto"/>
        </w:rPr>
      </w:pPr>
    </w:p>
    <w:p w:rsidR="00137030" w:rsidRDefault="00137030" w:rsidP="000F54BD">
      <w:pPr>
        <w:pStyle w:val="Default"/>
        <w:rPr>
          <w:rFonts w:ascii="TTdcr10" w:hAnsi="TTdcr10" w:cs="TTdcr10"/>
          <w:color w:val="auto"/>
        </w:rPr>
      </w:pPr>
    </w:p>
    <w:p w:rsidR="00137030" w:rsidRDefault="00137030" w:rsidP="000F54BD">
      <w:pPr>
        <w:pStyle w:val="Default"/>
        <w:rPr>
          <w:rFonts w:ascii="TTdcr10" w:hAnsi="TTdcr10" w:cs="TTdcr10"/>
          <w:color w:val="auto"/>
        </w:rPr>
      </w:pPr>
    </w:p>
    <w:p w:rsidR="00137030" w:rsidRPr="00724F7E" w:rsidRDefault="00137030" w:rsidP="000F54BD">
      <w:pPr>
        <w:pStyle w:val="Default"/>
        <w:rPr>
          <w:rFonts w:ascii="TTdcr10" w:hAnsi="TTdcr10" w:cs="TTdcr10"/>
          <w:color w:val="auto"/>
        </w:rPr>
        <w:sectPr w:rsidR="00137030" w:rsidRPr="00724F7E" w:rsidSect="003713E8">
          <w:footnotePr>
            <w:numRestart w:val="eachSect"/>
          </w:footnotePr>
          <w:pgSz w:w="16838" w:h="11906" w:orient="landscape"/>
          <w:pgMar w:top="1440" w:right="1440" w:bottom="1440" w:left="1440" w:header="708" w:footer="708" w:gutter="0"/>
          <w:cols w:space="708"/>
          <w:docGrid w:linePitch="360"/>
        </w:sectPr>
      </w:pPr>
    </w:p>
    <w:tbl>
      <w:tblPr>
        <w:tblStyle w:val="Grigliatabella"/>
        <w:tblW w:w="1126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5"/>
        <w:gridCol w:w="236"/>
        <w:gridCol w:w="1134"/>
        <w:gridCol w:w="1134"/>
        <w:gridCol w:w="236"/>
        <w:gridCol w:w="1134"/>
        <w:gridCol w:w="1134"/>
        <w:gridCol w:w="236"/>
        <w:gridCol w:w="1134"/>
        <w:gridCol w:w="1134"/>
        <w:gridCol w:w="236"/>
        <w:gridCol w:w="1134"/>
        <w:gridCol w:w="1134"/>
      </w:tblGrid>
      <w:tr w:rsidR="00D51BB9" w:rsidRPr="00724F7E" w:rsidTr="00D51BB9">
        <w:trPr>
          <w:trHeight w:val="254"/>
          <w:jc w:val="center"/>
        </w:trPr>
        <w:tc>
          <w:tcPr>
            <w:tcW w:w="11261" w:type="dxa"/>
            <w:gridSpan w:val="13"/>
            <w:vAlign w:val="center"/>
          </w:tcPr>
          <w:p w:rsidR="00D51BB9" w:rsidRDefault="00D51BB9" w:rsidP="00D51BB9">
            <w:pPr>
              <w:jc w:val="center"/>
              <w:rPr>
                <w:rFonts w:ascii="Calibri" w:hAnsi="Calibri"/>
                <w:b/>
                <w:bCs/>
                <w:color w:val="000000"/>
                <w:sz w:val="20"/>
                <w:szCs w:val="20"/>
              </w:rPr>
            </w:pPr>
            <w:r>
              <w:rPr>
                <w:rFonts w:ascii="Calibri" w:hAnsi="Calibri"/>
                <w:b/>
                <w:bCs/>
                <w:color w:val="000000"/>
                <w:sz w:val="20"/>
                <w:szCs w:val="20"/>
              </w:rPr>
              <w:lastRenderedPageBreak/>
              <w:t>Table II</w:t>
            </w:r>
          </w:p>
          <w:p w:rsidR="00D51BB9" w:rsidRDefault="00D51BB9" w:rsidP="00D51BB9">
            <w:pPr>
              <w:jc w:val="center"/>
              <w:rPr>
                <w:rFonts w:ascii="Calibri" w:hAnsi="Calibri"/>
                <w:color w:val="000000"/>
                <w:sz w:val="20"/>
                <w:szCs w:val="20"/>
              </w:rPr>
            </w:pPr>
            <w:r>
              <w:rPr>
                <w:rFonts w:ascii="Calibri" w:hAnsi="Calibri"/>
                <w:b/>
                <w:bCs/>
                <w:color w:val="000000"/>
              </w:rPr>
              <w:t>Summary Statistics for Sovereign Bond Returns  and Equity Returns</w:t>
            </w:r>
          </w:p>
        </w:tc>
      </w:tr>
      <w:tr w:rsidR="00D51BB9" w:rsidRPr="00724F7E" w:rsidTr="00D51BB9">
        <w:trPr>
          <w:trHeight w:val="254"/>
          <w:jc w:val="center"/>
        </w:trPr>
        <w:tc>
          <w:tcPr>
            <w:tcW w:w="11261" w:type="dxa"/>
            <w:gridSpan w:val="13"/>
            <w:tcBorders>
              <w:bottom w:val="single" w:sz="4" w:space="0" w:color="auto"/>
            </w:tcBorders>
            <w:vAlign w:val="center"/>
          </w:tcPr>
          <w:p w:rsidR="00D51BB9" w:rsidRPr="006E7F1B" w:rsidRDefault="00D51BB9" w:rsidP="00D51BB9">
            <w:pPr>
              <w:jc w:val="both"/>
              <w:rPr>
                <w:rFonts w:ascii="Calibri" w:hAnsi="Calibri" w:cs="TTdcr10"/>
              </w:rPr>
            </w:pPr>
            <w:r>
              <w:rPr>
                <w:rFonts w:ascii="Calibri" w:hAnsi="Calibri"/>
                <w:color w:val="000000"/>
                <w:sz w:val="20"/>
                <w:szCs w:val="20"/>
              </w:rPr>
              <w:t xml:space="preserve">The table shows the daily averages and standard deviations of sovereign bond and equity returns for each country in our sample. The pre-crisis period covers the time period from 01 Apr 2003 until 31 Aug 2007. The subprime crisis period covers the time period between 01 Sep 2007 and 31 Dec 2009. The first part of the sovereign debt crisis covers the time period between 01 Jan 2010 to 30 Dec 2011 and the second part covers the time period between 01 Jan 2012 to 31 Dec 2013. Returns are windsorised 1%-99% at the country level for the full sample. All descriptive statistics are expressed in basis points. The following representative stock market indices are used for each country in our sample: DAX (30 stocks, Germany), AEX (25 stocks, Netherlands), </w:t>
            </w:r>
            <w:r>
              <w:rPr>
                <w:rFonts w:ascii="Calibri" w:hAnsi="Calibri"/>
                <w:color w:val="000000"/>
                <w:spacing w:val="-16"/>
                <w:sz w:val="20"/>
                <w:szCs w:val="20"/>
              </w:rPr>
              <w:t xml:space="preserve">OMX Helsinki </w:t>
            </w:r>
            <w:r>
              <w:rPr>
                <w:rFonts w:ascii="Calibri" w:hAnsi="Calibri"/>
                <w:color w:val="000000"/>
                <w:sz w:val="20"/>
                <w:szCs w:val="20"/>
              </w:rPr>
              <w:t>(25 stocks, Finland)</w:t>
            </w:r>
            <w:r>
              <w:rPr>
                <w:rFonts w:ascii="Calibri" w:hAnsi="Calibri"/>
                <w:color w:val="000000"/>
                <w:spacing w:val="-16"/>
                <w:sz w:val="20"/>
                <w:szCs w:val="20"/>
              </w:rPr>
              <w:t xml:space="preserve">, CAC </w:t>
            </w:r>
            <w:r>
              <w:rPr>
                <w:rFonts w:ascii="Calibri" w:hAnsi="Calibri"/>
                <w:color w:val="000000"/>
                <w:sz w:val="20"/>
                <w:szCs w:val="20"/>
              </w:rPr>
              <w:t>(40 stocks, France)</w:t>
            </w:r>
            <w:r>
              <w:rPr>
                <w:rFonts w:ascii="Calibri" w:hAnsi="Calibri"/>
                <w:color w:val="000000"/>
                <w:spacing w:val="-16"/>
                <w:sz w:val="20"/>
                <w:szCs w:val="20"/>
              </w:rPr>
              <w:t xml:space="preserve">, ATX </w:t>
            </w:r>
            <w:r>
              <w:rPr>
                <w:rFonts w:ascii="Calibri" w:hAnsi="Calibri"/>
                <w:color w:val="000000"/>
                <w:sz w:val="20"/>
                <w:szCs w:val="20"/>
              </w:rPr>
              <w:t>(20 stocks, Austria)</w:t>
            </w:r>
            <w:r>
              <w:rPr>
                <w:rFonts w:ascii="Calibri" w:hAnsi="Calibri"/>
                <w:color w:val="000000"/>
                <w:spacing w:val="-16"/>
                <w:sz w:val="20"/>
                <w:szCs w:val="20"/>
              </w:rPr>
              <w:t xml:space="preserve">,  BEL </w:t>
            </w:r>
            <w:r>
              <w:rPr>
                <w:rFonts w:ascii="Calibri" w:hAnsi="Calibri"/>
                <w:color w:val="000000"/>
                <w:sz w:val="20"/>
                <w:szCs w:val="20"/>
              </w:rPr>
              <w:t>(20 stocks, Belgium)</w:t>
            </w:r>
            <w:r>
              <w:rPr>
                <w:rFonts w:ascii="Calibri" w:hAnsi="Calibri"/>
                <w:color w:val="000000"/>
                <w:spacing w:val="-16"/>
                <w:sz w:val="20"/>
                <w:szCs w:val="20"/>
              </w:rPr>
              <w:t xml:space="preserve">, MIB </w:t>
            </w:r>
            <w:r>
              <w:rPr>
                <w:rFonts w:ascii="Calibri" w:hAnsi="Calibri"/>
                <w:color w:val="000000"/>
                <w:sz w:val="20"/>
                <w:szCs w:val="20"/>
              </w:rPr>
              <w:t>(40 stocks, Italy)</w:t>
            </w:r>
            <w:r>
              <w:rPr>
                <w:rFonts w:ascii="Calibri" w:hAnsi="Calibri"/>
                <w:color w:val="000000"/>
                <w:spacing w:val="-16"/>
                <w:sz w:val="20"/>
                <w:szCs w:val="20"/>
              </w:rPr>
              <w:t xml:space="preserve">, IBEX </w:t>
            </w:r>
            <w:r>
              <w:rPr>
                <w:rFonts w:ascii="Calibri" w:hAnsi="Calibri"/>
                <w:color w:val="000000"/>
                <w:sz w:val="20"/>
                <w:szCs w:val="20"/>
              </w:rPr>
              <w:t>(35 stocks, Spain)</w:t>
            </w:r>
            <w:r>
              <w:rPr>
                <w:rFonts w:ascii="Calibri" w:hAnsi="Calibri"/>
                <w:color w:val="000000"/>
                <w:spacing w:val="-16"/>
                <w:sz w:val="20"/>
                <w:szCs w:val="20"/>
              </w:rPr>
              <w:t xml:space="preserve">, PSI </w:t>
            </w:r>
            <w:r>
              <w:rPr>
                <w:rFonts w:ascii="Calibri" w:hAnsi="Calibri"/>
                <w:color w:val="000000"/>
                <w:sz w:val="20"/>
                <w:szCs w:val="20"/>
              </w:rPr>
              <w:t>(20 stocks, Portugal)</w:t>
            </w:r>
            <w:r>
              <w:rPr>
                <w:rFonts w:ascii="Calibri" w:hAnsi="Calibri"/>
                <w:color w:val="000000"/>
                <w:spacing w:val="-16"/>
                <w:sz w:val="20"/>
                <w:szCs w:val="20"/>
              </w:rPr>
              <w:t xml:space="preserve">, ISEQ </w:t>
            </w:r>
            <w:r>
              <w:rPr>
                <w:rFonts w:ascii="Calibri" w:hAnsi="Calibri"/>
                <w:color w:val="000000"/>
                <w:sz w:val="20"/>
                <w:szCs w:val="20"/>
              </w:rPr>
              <w:t>(20 stocks, Ireland)</w:t>
            </w:r>
            <w:r>
              <w:rPr>
                <w:rFonts w:ascii="Calibri" w:hAnsi="Calibri"/>
                <w:color w:val="000000"/>
                <w:spacing w:val="-16"/>
                <w:sz w:val="20"/>
                <w:szCs w:val="20"/>
              </w:rPr>
              <w:t xml:space="preserve">, ATHEX </w:t>
            </w:r>
            <w:r>
              <w:rPr>
                <w:rFonts w:ascii="Calibri" w:hAnsi="Calibri"/>
                <w:color w:val="000000"/>
                <w:sz w:val="20"/>
                <w:szCs w:val="20"/>
              </w:rPr>
              <w:t>(20 stocks, Greece)</w:t>
            </w:r>
            <w:r>
              <w:rPr>
                <w:rFonts w:ascii="Calibri" w:hAnsi="Calibri"/>
                <w:color w:val="000000"/>
                <w:spacing w:val="-16"/>
                <w:sz w:val="20"/>
                <w:szCs w:val="20"/>
              </w:rPr>
              <w:t>.</w:t>
            </w:r>
          </w:p>
        </w:tc>
      </w:tr>
      <w:tr w:rsidR="00D51BB9" w:rsidRPr="00724F7E" w:rsidTr="00D51BB9">
        <w:trPr>
          <w:trHeight w:val="397"/>
          <w:jc w:val="center"/>
        </w:trPr>
        <w:tc>
          <w:tcPr>
            <w:tcW w:w="11261" w:type="dxa"/>
            <w:gridSpan w:val="13"/>
            <w:tcBorders>
              <w:top w:val="single" w:sz="4" w:space="0" w:color="auto"/>
              <w:bottom w:val="single" w:sz="4" w:space="0" w:color="auto"/>
            </w:tcBorders>
            <w:vAlign w:val="center"/>
          </w:tcPr>
          <w:p w:rsidR="00D51BB9" w:rsidRPr="00724F7E" w:rsidRDefault="00D51BB9" w:rsidP="00D51BB9">
            <w:pPr>
              <w:rPr>
                <w:sz w:val="20"/>
                <w:szCs w:val="20"/>
              </w:rPr>
            </w:pPr>
            <w:r w:rsidRPr="006E7F1B">
              <w:rPr>
                <w:rFonts w:ascii="Calibri" w:hAnsi="Calibri" w:cs="TTdcr10"/>
              </w:rPr>
              <w:t>Panel A: Sovereign Bond Returns</w:t>
            </w:r>
          </w:p>
        </w:tc>
      </w:tr>
      <w:tr w:rsidR="00D51BB9" w:rsidRPr="00724F7E" w:rsidTr="00D51BB9">
        <w:trPr>
          <w:trHeight w:val="254"/>
          <w:jc w:val="center"/>
        </w:trPr>
        <w:tc>
          <w:tcPr>
            <w:tcW w:w="1245" w:type="dxa"/>
            <w:tcBorders>
              <w:top w:val="single" w:sz="4" w:space="0" w:color="auto"/>
            </w:tcBorders>
            <w:vAlign w:val="center"/>
          </w:tcPr>
          <w:p w:rsidR="00D51BB9" w:rsidRPr="00724F7E" w:rsidRDefault="00D51BB9" w:rsidP="00A006F5">
            <w:pPr>
              <w:rPr>
                <w:sz w:val="20"/>
                <w:szCs w:val="20"/>
              </w:rPr>
            </w:pPr>
          </w:p>
        </w:tc>
        <w:tc>
          <w:tcPr>
            <w:tcW w:w="236" w:type="dxa"/>
            <w:tcBorders>
              <w:top w:val="single" w:sz="4" w:space="0" w:color="auto"/>
            </w:tcBorders>
          </w:tcPr>
          <w:p w:rsidR="00D51BB9" w:rsidRPr="00724F7E" w:rsidRDefault="00D51BB9" w:rsidP="00A006F5">
            <w:pPr>
              <w:jc w:val="center"/>
              <w:rPr>
                <w:sz w:val="20"/>
                <w:szCs w:val="20"/>
              </w:rPr>
            </w:pPr>
          </w:p>
        </w:tc>
        <w:tc>
          <w:tcPr>
            <w:tcW w:w="2268" w:type="dxa"/>
            <w:gridSpan w:val="2"/>
            <w:tcBorders>
              <w:top w:val="single" w:sz="4" w:space="0" w:color="auto"/>
            </w:tcBorders>
            <w:vAlign w:val="center"/>
          </w:tcPr>
          <w:p w:rsidR="00D51BB9" w:rsidRPr="00724F7E" w:rsidRDefault="00D51BB9" w:rsidP="00A006F5">
            <w:pPr>
              <w:jc w:val="center"/>
              <w:rPr>
                <w:sz w:val="20"/>
                <w:szCs w:val="20"/>
              </w:rPr>
            </w:pPr>
            <w:r w:rsidRPr="00724F7E">
              <w:rPr>
                <w:sz w:val="20"/>
                <w:szCs w:val="20"/>
              </w:rPr>
              <w:t>Pre-crisis period</w:t>
            </w:r>
          </w:p>
        </w:tc>
        <w:tc>
          <w:tcPr>
            <w:tcW w:w="236" w:type="dxa"/>
            <w:tcBorders>
              <w:top w:val="single" w:sz="4" w:space="0" w:color="auto"/>
            </w:tcBorders>
            <w:vAlign w:val="center"/>
          </w:tcPr>
          <w:p w:rsidR="00D51BB9" w:rsidRPr="00724F7E" w:rsidRDefault="00D51BB9" w:rsidP="00A006F5">
            <w:pPr>
              <w:jc w:val="center"/>
              <w:rPr>
                <w:sz w:val="20"/>
                <w:szCs w:val="20"/>
              </w:rPr>
            </w:pPr>
          </w:p>
        </w:tc>
        <w:tc>
          <w:tcPr>
            <w:tcW w:w="2268" w:type="dxa"/>
            <w:gridSpan w:val="2"/>
            <w:tcBorders>
              <w:top w:val="single" w:sz="4" w:space="0" w:color="auto"/>
            </w:tcBorders>
            <w:vAlign w:val="center"/>
          </w:tcPr>
          <w:p w:rsidR="00D51BB9" w:rsidRPr="00724F7E" w:rsidRDefault="00D51BB9" w:rsidP="00A006F5">
            <w:pPr>
              <w:jc w:val="center"/>
              <w:rPr>
                <w:sz w:val="20"/>
                <w:szCs w:val="20"/>
              </w:rPr>
            </w:pPr>
            <w:r w:rsidRPr="00724F7E">
              <w:rPr>
                <w:sz w:val="20"/>
                <w:szCs w:val="20"/>
              </w:rPr>
              <w:t>Subprime crisis period</w:t>
            </w:r>
          </w:p>
        </w:tc>
        <w:tc>
          <w:tcPr>
            <w:tcW w:w="236" w:type="dxa"/>
            <w:tcBorders>
              <w:top w:val="single" w:sz="4" w:space="0" w:color="auto"/>
            </w:tcBorders>
            <w:vAlign w:val="center"/>
          </w:tcPr>
          <w:p w:rsidR="00D51BB9" w:rsidRPr="00724F7E" w:rsidRDefault="00D51BB9" w:rsidP="00A006F5">
            <w:pPr>
              <w:jc w:val="center"/>
              <w:rPr>
                <w:sz w:val="20"/>
                <w:szCs w:val="20"/>
              </w:rPr>
            </w:pPr>
          </w:p>
        </w:tc>
        <w:tc>
          <w:tcPr>
            <w:tcW w:w="2268" w:type="dxa"/>
            <w:gridSpan w:val="2"/>
            <w:tcBorders>
              <w:top w:val="single" w:sz="4" w:space="0" w:color="auto"/>
            </w:tcBorders>
            <w:vAlign w:val="center"/>
          </w:tcPr>
          <w:p w:rsidR="00D51BB9" w:rsidRPr="00724F7E" w:rsidRDefault="00D51BB9" w:rsidP="00A006F5">
            <w:pPr>
              <w:jc w:val="center"/>
              <w:rPr>
                <w:sz w:val="20"/>
                <w:szCs w:val="20"/>
              </w:rPr>
            </w:pPr>
            <w:r w:rsidRPr="00724F7E">
              <w:rPr>
                <w:sz w:val="20"/>
                <w:szCs w:val="20"/>
              </w:rPr>
              <w:t>Sovereign crisis period</w:t>
            </w:r>
            <w:r>
              <w:rPr>
                <w:sz w:val="20"/>
                <w:szCs w:val="20"/>
              </w:rPr>
              <w:t xml:space="preserve"> I</w:t>
            </w:r>
          </w:p>
        </w:tc>
        <w:tc>
          <w:tcPr>
            <w:tcW w:w="236" w:type="dxa"/>
            <w:tcBorders>
              <w:top w:val="single" w:sz="4" w:space="0" w:color="auto"/>
            </w:tcBorders>
            <w:vAlign w:val="center"/>
          </w:tcPr>
          <w:p w:rsidR="00D51BB9" w:rsidRPr="00724F7E" w:rsidRDefault="00D51BB9" w:rsidP="00A006F5">
            <w:pPr>
              <w:jc w:val="center"/>
              <w:rPr>
                <w:sz w:val="20"/>
                <w:szCs w:val="20"/>
              </w:rPr>
            </w:pPr>
          </w:p>
        </w:tc>
        <w:tc>
          <w:tcPr>
            <w:tcW w:w="2268" w:type="dxa"/>
            <w:gridSpan w:val="2"/>
            <w:tcBorders>
              <w:top w:val="single" w:sz="4" w:space="0" w:color="auto"/>
            </w:tcBorders>
            <w:vAlign w:val="center"/>
          </w:tcPr>
          <w:p w:rsidR="00D51BB9" w:rsidRPr="00724F7E" w:rsidRDefault="00D51BB9" w:rsidP="00A006F5">
            <w:pPr>
              <w:jc w:val="center"/>
              <w:rPr>
                <w:sz w:val="20"/>
                <w:szCs w:val="20"/>
              </w:rPr>
            </w:pPr>
            <w:r w:rsidRPr="00724F7E">
              <w:rPr>
                <w:sz w:val="20"/>
                <w:szCs w:val="20"/>
              </w:rPr>
              <w:t>Sovereign crisis period</w:t>
            </w:r>
            <w:r>
              <w:rPr>
                <w:sz w:val="20"/>
                <w:szCs w:val="20"/>
              </w:rPr>
              <w:t xml:space="preserve"> II</w:t>
            </w:r>
          </w:p>
        </w:tc>
      </w:tr>
      <w:tr w:rsidR="00D51BB9" w:rsidRPr="00724F7E" w:rsidTr="00D51BB9">
        <w:trPr>
          <w:trHeight w:val="254"/>
          <w:jc w:val="center"/>
        </w:trPr>
        <w:tc>
          <w:tcPr>
            <w:tcW w:w="1245" w:type="dxa"/>
            <w:vAlign w:val="center"/>
          </w:tcPr>
          <w:p w:rsidR="00D51BB9" w:rsidRPr="00724F7E" w:rsidRDefault="00D51BB9" w:rsidP="00A006F5">
            <w:pPr>
              <w:rPr>
                <w:sz w:val="20"/>
                <w:szCs w:val="20"/>
              </w:rPr>
            </w:pPr>
          </w:p>
        </w:tc>
        <w:tc>
          <w:tcPr>
            <w:tcW w:w="236" w:type="dxa"/>
          </w:tcPr>
          <w:p w:rsidR="00D51BB9" w:rsidRPr="00724F7E" w:rsidRDefault="00D51BB9" w:rsidP="00A006F5">
            <w:pPr>
              <w:jc w:val="center"/>
              <w:rPr>
                <w:sz w:val="20"/>
                <w:szCs w:val="20"/>
              </w:rPr>
            </w:pPr>
          </w:p>
        </w:tc>
        <w:tc>
          <w:tcPr>
            <w:tcW w:w="1134" w:type="dxa"/>
            <w:tcBorders>
              <w:bottom w:val="single" w:sz="4" w:space="0" w:color="auto"/>
            </w:tcBorders>
            <w:vAlign w:val="bottom"/>
          </w:tcPr>
          <w:p w:rsidR="00D51BB9" w:rsidRPr="00724F7E" w:rsidRDefault="00D51BB9" w:rsidP="00A006F5">
            <w:pPr>
              <w:jc w:val="center"/>
              <w:rPr>
                <w:sz w:val="20"/>
                <w:szCs w:val="20"/>
              </w:rPr>
            </w:pPr>
            <w:r w:rsidRPr="00724F7E">
              <w:rPr>
                <w:sz w:val="20"/>
                <w:szCs w:val="20"/>
              </w:rPr>
              <w:t>Mean</w:t>
            </w:r>
          </w:p>
        </w:tc>
        <w:tc>
          <w:tcPr>
            <w:tcW w:w="1134" w:type="dxa"/>
            <w:tcBorders>
              <w:bottom w:val="single" w:sz="4" w:space="0" w:color="auto"/>
            </w:tcBorders>
            <w:vAlign w:val="bottom"/>
          </w:tcPr>
          <w:p w:rsidR="00D51BB9" w:rsidRPr="00724F7E" w:rsidRDefault="00D51BB9" w:rsidP="00A006F5">
            <w:pPr>
              <w:jc w:val="center"/>
              <w:rPr>
                <w:sz w:val="20"/>
                <w:szCs w:val="20"/>
              </w:rPr>
            </w:pPr>
            <w:r w:rsidRPr="00724F7E">
              <w:rPr>
                <w:sz w:val="20"/>
                <w:szCs w:val="20"/>
              </w:rPr>
              <w:t>St.Dev.</w:t>
            </w:r>
          </w:p>
        </w:tc>
        <w:tc>
          <w:tcPr>
            <w:tcW w:w="236" w:type="dxa"/>
          </w:tcPr>
          <w:p w:rsidR="00D51BB9" w:rsidRPr="00724F7E" w:rsidRDefault="00D51BB9" w:rsidP="00A006F5">
            <w:pPr>
              <w:jc w:val="center"/>
              <w:rPr>
                <w:sz w:val="20"/>
                <w:szCs w:val="20"/>
              </w:rPr>
            </w:pPr>
          </w:p>
        </w:tc>
        <w:tc>
          <w:tcPr>
            <w:tcW w:w="1134" w:type="dxa"/>
            <w:tcBorders>
              <w:bottom w:val="single" w:sz="4" w:space="0" w:color="auto"/>
            </w:tcBorders>
            <w:vAlign w:val="bottom"/>
          </w:tcPr>
          <w:p w:rsidR="00D51BB9" w:rsidRPr="00724F7E" w:rsidRDefault="00D51BB9" w:rsidP="00A006F5">
            <w:pPr>
              <w:jc w:val="center"/>
              <w:rPr>
                <w:sz w:val="20"/>
                <w:szCs w:val="20"/>
              </w:rPr>
            </w:pPr>
            <w:r w:rsidRPr="00724F7E">
              <w:rPr>
                <w:sz w:val="20"/>
                <w:szCs w:val="20"/>
              </w:rPr>
              <w:t>Mean</w:t>
            </w:r>
          </w:p>
        </w:tc>
        <w:tc>
          <w:tcPr>
            <w:tcW w:w="1134" w:type="dxa"/>
            <w:tcBorders>
              <w:bottom w:val="single" w:sz="4" w:space="0" w:color="auto"/>
            </w:tcBorders>
            <w:vAlign w:val="bottom"/>
          </w:tcPr>
          <w:p w:rsidR="00D51BB9" w:rsidRPr="00724F7E" w:rsidRDefault="00D51BB9" w:rsidP="00A006F5">
            <w:pPr>
              <w:jc w:val="center"/>
              <w:rPr>
                <w:sz w:val="20"/>
                <w:szCs w:val="20"/>
              </w:rPr>
            </w:pPr>
            <w:r w:rsidRPr="00724F7E">
              <w:rPr>
                <w:sz w:val="20"/>
                <w:szCs w:val="20"/>
              </w:rPr>
              <w:t>St.Dev.</w:t>
            </w:r>
          </w:p>
        </w:tc>
        <w:tc>
          <w:tcPr>
            <w:tcW w:w="236" w:type="dxa"/>
          </w:tcPr>
          <w:p w:rsidR="00D51BB9" w:rsidRPr="00724F7E" w:rsidRDefault="00D51BB9" w:rsidP="00A006F5">
            <w:pPr>
              <w:jc w:val="center"/>
              <w:rPr>
                <w:sz w:val="20"/>
                <w:szCs w:val="20"/>
              </w:rPr>
            </w:pPr>
          </w:p>
        </w:tc>
        <w:tc>
          <w:tcPr>
            <w:tcW w:w="1134" w:type="dxa"/>
            <w:tcBorders>
              <w:bottom w:val="single" w:sz="4" w:space="0" w:color="auto"/>
            </w:tcBorders>
            <w:vAlign w:val="bottom"/>
          </w:tcPr>
          <w:p w:rsidR="00D51BB9" w:rsidRPr="00724F7E" w:rsidRDefault="00D51BB9" w:rsidP="00A006F5">
            <w:pPr>
              <w:jc w:val="center"/>
              <w:rPr>
                <w:sz w:val="20"/>
                <w:szCs w:val="20"/>
              </w:rPr>
            </w:pPr>
            <w:r w:rsidRPr="00724F7E">
              <w:rPr>
                <w:sz w:val="20"/>
                <w:szCs w:val="20"/>
              </w:rPr>
              <w:t>Mean</w:t>
            </w:r>
          </w:p>
        </w:tc>
        <w:tc>
          <w:tcPr>
            <w:tcW w:w="1134" w:type="dxa"/>
            <w:tcBorders>
              <w:bottom w:val="single" w:sz="4" w:space="0" w:color="auto"/>
            </w:tcBorders>
            <w:vAlign w:val="bottom"/>
          </w:tcPr>
          <w:p w:rsidR="00D51BB9" w:rsidRPr="00724F7E" w:rsidRDefault="00D51BB9" w:rsidP="00A006F5">
            <w:pPr>
              <w:jc w:val="center"/>
              <w:rPr>
                <w:sz w:val="20"/>
                <w:szCs w:val="20"/>
              </w:rPr>
            </w:pPr>
            <w:r w:rsidRPr="00724F7E">
              <w:rPr>
                <w:sz w:val="20"/>
                <w:szCs w:val="20"/>
              </w:rPr>
              <w:t>St.Dev.</w:t>
            </w:r>
          </w:p>
        </w:tc>
        <w:tc>
          <w:tcPr>
            <w:tcW w:w="236" w:type="dxa"/>
          </w:tcPr>
          <w:p w:rsidR="00D51BB9" w:rsidRPr="00724F7E" w:rsidRDefault="00D51BB9" w:rsidP="00A006F5">
            <w:pPr>
              <w:jc w:val="center"/>
              <w:rPr>
                <w:sz w:val="20"/>
                <w:szCs w:val="20"/>
              </w:rPr>
            </w:pPr>
          </w:p>
        </w:tc>
        <w:tc>
          <w:tcPr>
            <w:tcW w:w="1134" w:type="dxa"/>
            <w:tcBorders>
              <w:bottom w:val="single" w:sz="4" w:space="0" w:color="auto"/>
            </w:tcBorders>
            <w:vAlign w:val="bottom"/>
          </w:tcPr>
          <w:p w:rsidR="00D51BB9" w:rsidRPr="00724F7E" w:rsidRDefault="00D51BB9" w:rsidP="00A006F5">
            <w:pPr>
              <w:jc w:val="center"/>
              <w:rPr>
                <w:sz w:val="20"/>
                <w:szCs w:val="20"/>
              </w:rPr>
            </w:pPr>
            <w:r w:rsidRPr="00724F7E">
              <w:rPr>
                <w:sz w:val="20"/>
                <w:szCs w:val="20"/>
              </w:rPr>
              <w:t>Mean</w:t>
            </w:r>
          </w:p>
        </w:tc>
        <w:tc>
          <w:tcPr>
            <w:tcW w:w="1134" w:type="dxa"/>
            <w:tcBorders>
              <w:bottom w:val="single" w:sz="4" w:space="0" w:color="auto"/>
            </w:tcBorders>
            <w:vAlign w:val="bottom"/>
          </w:tcPr>
          <w:p w:rsidR="00D51BB9" w:rsidRPr="00724F7E" w:rsidRDefault="00D51BB9" w:rsidP="00A006F5">
            <w:pPr>
              <w:jc w:val="center"/>
              <w:rPr>
                <w:sz w:val="20"/>
                <w:szCs w:val="20"/>
              </w:rPr>
            </w:pPr>
            <w:r w:rsidRPr="00724F7E">
              <w:rPr>
                <w:sz w:val="20"/>
                <w:szCs w:val="20"/>
              </w:rPr>
              <w:t>St.Dev.</w:t>
            </w:r>
          </w:p>
        </w:tc>
      </w:tr>
      <w:tr w:rsidR="00D51BB9" w:rsidRPr="00724F7E" w:rsidTr="00D51BB9">
        <w:trPr>
          <w:trHeight w:val="254"/>
          <w:jc w:val="center"/>
        </w:trPr>
        <w:tc>
          <w:tcPr>
            <w:tcW w:w="1245" w:type="dxa"/>
            <w:vAlign w:val="bottom"/>
          </w:tcPr>
          <w:p w:rsidR="00D51BB9" w:rsidRPr="003152F4" w:rsidRDefault="00D51BB9" w:rsidP="00A006F5">
            <w:pPr>
              <w:rPr>
                <w:sz w:val="20"/>
                <w:szCs w:val="20"/>
              </w:rPr>
            </w:pPr>
            <w:r w:rsidRPr="003152F4">
              <w:rPr>
                <w:sz w:val="20"/>
                <w:szCs w:val="20"/>
              </w:rPr>
              <w:t>Germany</w:t>
            </w:r>
          </w:p>
        </w:tc>
        <w:tc>
          <w:tcPr>
            <w:tcW w:w="236" w:type="dxa"/>
            <w:vAlign w:val="bottom"/>
          </w:tcPr>
          <w:p w:rsidR="00D51BB9" w:rsidRDefault="00D51BB9" w:rsidP="00A006F5">
            <w:pPr>
              <w:rPr>
                <w:rFonts w:ascii="Calibri" w:hAnsi="Calibri"/>
                <w:color w:val="000000"/>
              </w:rPr>
            </w:pPr>
          </w:p>
        </w:tc>
        <w:tc>
          <w:tcPr>
            <w:tcW w:w="1134" w:type="dxa"/>
            <w:tcBorders>
              <w:top w:val="single" w:sz="4" w:space="0" w:color="auto"/>
            </w:tcBorders>
            <w:vAlign w:val="center"/>
          </w:tcPr>
          <w:p w:rsidR="00D51BB9" w:rsidRDefault="00D51BB9" w:rsidP="00A006F5">
            <w:pPr>
              <w:jc w:val="center"/>
              <w:rPr>
                <w:rFonts w:ascii="Calibri" w:hAnsi="Calibri"/>
                <w:color w:val="000000"/>
                <w:sz w:val="20"/>
                <w:szCs w:val="20"/>
              </w:rPr>
            </w:pPr>
            <w:r>
              <w:rPr>
                <w:rFonts w:ascii="Calibri" w:hAnsi="Calibri"/>
                <w:color w:val="000000"/>
                <w:sz w:val="20"/>
                <w:szCs w:val="20"/>
              </w:rPr>
              <w:t>-0.3</w:t>
            </w:r>
          </w:p>
        </w:tc>
        <w:tc>
          <w:tcPr>
            <w:tcW w:w="1134" w:type="dxa"/>
            <w:tcBorders>
              <w:top w:val="single" w:sz="4" w:space="0" w:color="auto"/>
            </w:tcBorders>
            <w:vAlign w:val="center"/>
          </w:tcPr>
          <w:p w:rsidR="00D51BB9" w:rsidRDefault="00D51BB9" w:rsidP="00A006F5">
            <w:pPr>
              <w:jc w:val="center"/>
              <w:rPr>
                <w:rFonts w:ascii="Calibri" w:hAnsi="Calibri"/>
                <w:color w:val="000000"/>
                <w:sz w:val="20"/>
                <w:szCs w:val="20"/>
              </w:rPr>
            </w:pPr>
            <w:r>
              <w:rPr>
                <w:rFonts w:ascii="Calibri" w:hAnsi="Calibri"/>
                <w:color w:val="000000"/>
                <w:sz w:val="20"/>
                <w:szCs w:val="20"/>
              </w:rPr>
              <w:t>21.6</w:t>
            </w:r>
          </w:p>
        </w:tc>
        <w:tc>
          <w:tcPr>
            <w:tcW w:w="236" w:type="dxa"/>
          </w:tcPr>
          <w:p w:rsidR="00D51BB9" w:rsidRDefault="00D51BB9" w:rsidP="00A006F5">
            <w:pPr>
              <w:jc w:val="center"/>
              <w:rPr>
                <w:rFonts w:ascii="Calibri" w:hAnsi="Calibri"/>
                <w:color w:val="000000"/>
                <w:sz w:val="20"/>
                <w:szCs w:val="20"/>
              </w:rPr>
            </w:pPr>
          </w:p>
        </w:tc>
        <w:tc>
          <w:tcPr>
            <w:tcW w:w="1134" w:type="dxa"/>
            <w:tcBorders>
              <w:top w:val="single" w:sz="4" w:space="0" w:color="auto"/>
            </w:tcBorders>
            <w:vAlign w:val="center"/>
          </w:tcPr>
          <w:p w:rsidR="00D51BB9" w:rsidRDefault="00D51BB9" w:rsidP="00A006F5">
            <w:pPr>
              <w:jc w:val="center"/>
              <w:rPr>
                <w:rFonts w:ascii="Calibri" w:hAnsi="Calibri"/>
                <w:color w:val="000000"/>
                <w:sz w:val="20"/>
                <w:szCs w:val="20"/>
              </w:rPr>
            </w:pPr>
            <w:r>
              <w:rPr>
                <w:rFonts w:ascii="Calibri" w:hAnsi="Calibri"/>
                <w:color w:val="000000"/>
                <w:sz w:val="20"/>
                <w:szCs w:val="20"/>
              </w:rPr>
              <w:t>1.0</w:t>
            </w:r>
          </w:p>
        </w:tc>
        <w:tc>
          <w:tcPr>
            <w:tcW w:w="1134" w:type="dxa"/>
            <w:tcBorders>
              <w:top w:val="single" w:sz="4" w:space="0" w:color="auto"/>
            </w:tcBorders>
            <w:vAlign w:val="center"/>
          </w:tcPr>
          <w:p w:rsidR="00D51BB9" w:rsidRDefault="00D51BB9" w:rsidP="00A006F5">
            <w:pPr>
              <w:jc w:val="center"/>
              <w:rPr>
                <w:rFonts w:ascii="Calibri" w:hAnsi="Calibri"/>
                <w:color w:val="000000"/>
                <w:sz w:val="20"/>
                <w:szCs w:val="20"/>
              </w:rPr>
            </w:pPr>
            <w:r>
              <w:rPr>
                <w:rFonts w:ascii="Calibri" w:hAnsi="Calibri"/>
                <w:color w:val="000000"/>
                <w:sz w:val="20"/>
                <w:szCs w:val="20"/>
              </w:rPr>
              <w:t>38.1</w:t>
            </w:r>
          </w:p>
        </w:tc>
        <w:tc>
          <w:tcPr>
            <w:tcW w:w="236" w:type="dxa"/>
          </w:tcPr>
          <w:p w:rsidR="00D51BB9" w:rsidRDefault="00D51BB9" w:rsidP="00A006F5">
            <w:pPr>
              <w:jc w:val="center"/>
              <w:rPr>
                <w:rFonts w:ascii="Calibri" w:hAnsi="Calibri"/>
                <w:color w:val="000000"/>
                <w:sz w:val="20"/>
                <w:szCs w:val="20"/>
              </w:rPr>
            </w:pPr>
          </w:p>
        </w:tc>
        <w:tc>
          <w:tcPr>
            <w:tcW w:w="1134" w:type="dxa"/>
            <w:tcBorders>
              <w:top w:val="single" w:sz="4" w:space="0" w:color="auto"/>
            </w:tcBorders>
            <w:vAlign w:val="center"/>
          </w:tcPr>
          <w:p w:rsidR="00D51BB9" w:rsidRDefault="00D51BB9" w:rsidP="00A006F5">
            <w:pPr>
              <w:jc w:val="center"/>
              <w:rPr>
                <w:rFonts w:ascii="Calibri" w:hAnsi="Calibri"/>
                <w:color w:val="000000"/>
                <w:sz w:val="20"/>
                <w:szCs w:val="20"/>
              </w:rPr>
            </w:pPr>
            <w:r>
              <w:rPr>
                <w:rFonts w:ascii="Calibri" w:hAnsi="Calibri"/>
                <w:color w:val="000000"/>
                <w:sz w:val="20"/>
                <w:szCs w:val="20"/>
              </w:rPr>
              <w:t>1.5</w:t>
            </w:r>
          </w:p>
        </w:tc>
        <w:tc>
          <w:tcPr>
            <w:tcW w:w="1134" w:type="dxa"/>
            <w:tcBorders>
              <w:top w:val="single" w:sz="4" w:space="0" w:color="auto"/>
            </w:tcBorders>
            <w:vAlign w:val="center"/>
          </w:tcPr>
          <w:p w:rsidR="00D51BB9" w:rsidRDefault="00D51BB9" w:rsidP="00A006F5">
            <w:pPr>
              <w:jc w:val="center"/>
              <w:rPr>
                <w:rFonts w:ascii="Calibri" w:hAnsi="Calibri"/>
                <w:color w:val="000000"/>
                <w:sz w:val="20"/>
                <w:szCs w:val="20"/>
              </w:rPr>
            </w:pPr>
            <w:r>
              <w:rPr>
                <w:rFonts w:ascii="Calibri" w:hAnsi="Calibri"/>
                <w:color w:val="000000"/>
                <w:sz w:val="20"/>
                <w:szCs w:val="20"/>
              </w:rPr>
              <w:t>40.0</w:t>
            </w:r>
          </w:p>
        </w:tc>
        <w:tc>
          <w:tcPr>
            <w:tcW w:w="236" w:type="dxa"/>
          </w:tcPr>
          <w:p w:rsidR="00D51BB9" w:rsidRDefault="00D51BB9" w:rsidP="00A006F5">
            <w:pPr>
              <w:jc w:val="center"/>
              <w:rPr>
                <w:rFonts w:ascii="Calibri" w:hAnsi="Calibri"/>
                <w:color w:val="000000"/>
                <w:sz w:val="20"/>
                <w:szCs w:val="20"/>
              </w:rPr>
            </w:pPr>
          </w:p>
        </w:tc>
        <w:tc>
          <w:tcPr>
            <w:tcW w:w="1134" w:type="dxa"/>
            <w:tcBorders>
              <w:top w:val="single" w:sz="4" w:space="0" w:color="auto"/>
            </w:tcBorders>
            <w:vAlign w:val="center"/>
          </w:tcPr>
          <w:p w:rsidR="00D51BB9" w:rsidRDefault="00D51BB9" w:rsidP="00A006F5">
            <w:pPr>
              <w:jc w:val="center"/>
              <w:rPr>
                <w:rFonts w:ascii="Calibri" w:hAnsi="Calibri"/>
                <w:color w:val="000000"/>
                <w:sz w:val="20"/>
                <w:szCs w:val="20"/>
              </w:rPr>
            </w:pPr>
            <w:r>
              <w:rPr>
                <w:rFonts w:ascii="Calibri" w:hAnsi="Calibri"/>
                <w:color w:val="000000"/>
                <w:sz w:val="20"/>
                <w:szCs w:val="20"/>
              </w:rPr>
              <w:t>-0.6</w:t>
            </w:r>
          </w:p>
        </w:tc>
        <w:tc>
          <w:tcPr>
            <w:tcW w:w="1134" w:type="dxa"/>
            <w:tcBorders>
              <w:top w:val="single" w:sz="4" w:space="0" w:color="auto"/>
            </w:tcBorders>
            <w:vAlign w:val="center"/>
          </w:tcPr>
          <w:p w:rsidR="00D51BB9" w:rsidRDefault="00D51BB9" w:rsidP="00A006F5">
            <w:pPr>
              <w:jc w:val="center"/>
              <w:rPr>
                <w:rFonts w:ascii="Calibri" w:hAnsi="Calibri"/>
                <w:color w:val="000000"/>
                <w:sz w:val="20"/>
                <w:szCs w:val="20"/>
              </w:rPr>
            </w:pPr>
            <w:r>
              <w:rPr>
                <w:rFonts w:ascii="Calibri" w:hAnsi="Calibri"/>
                <w:color w:val="000000"/>
                <w:sz w:val="20"/>
                <w:szCs w:val="20"/>
              </w:rPr>
              <w:t>33.9</w:t>
            </w:r>
          </w:p>
        </w:tc>
      </w:tr>
      <w:tr w:rsidR="00D51BB9" w:rsidRPr="00724F7E" w:rsidTr="00D51BB9">
        <w:trPr>
          <w:trHeight w:val="254"/>
          <w:jc w:val="center"/>
        </w:trPr>
        <w:tc>
          <w:tcPr>
            <w:tcW w:w="1245" w:type="dxa"/>
            <w:vAlign w:val="bottom"/>
          </w:tcPr>
          <w:p w:rsidR="00D51BB9" w:rsidRPr="003152F4" w:rsidRDefault="00D51BB9" w:rsidP="00A006F5">
            <w:pPr>
              <w:rPr>
                <w:sz w:val="20"/>
                <w:szCs w:val="20"/>
              </w:rPr>
            </w:pPr>
            <w:r w:rsidRPr="003152F4">
              <w:rPr>
                <w:sz w:val="20"/>
                <w:szCs w:val="20"/>
              </w:rPr>
              <w:t>Netherlands</w:t>
            </w:r>
          </w:p>
        </w:tc>
        <w:tc>
          <w:tcPr>
            <w:tcW w:w="236" w:type="dxa"/>
            <w:vAlign w:val="bottom"/>
          </w:tcPr>
          <w:p w:rsidR="00D51BB9" w:rsidRDefault="00D51BB9" w:rsidP="00A006F5">
            <w:pPr>
              <w:rPr>
                <w:rFonts w:ascii="Calibri" w:hAnsi="Calibri"/>
                <w:color w:val="000000"/>
              </w:rPr>
            </w:pPr>
          </w:p>
        </w:tc>
        <w:tc>
          <w:tcPr>
            <w:tcW w:w="1134" w:type="dxa"/>
            <w:vAlign w:val="center"/>
          </w:tcPr>
          <w:p w:rsidR="00D51BB9" w:rsidRDefault="00D51BB9" w:rsidP="00A006F5">
            <w:pPr>
              <w:jc w:val="center"/>
              <w:rPr>
                <w:rFonts w:ascii="Calibri" w:hAnsi="Calibri"/>
                <w:color w:val="000000"/>
                <w:sz w:val="20"/>
                <w:szCs w:val="20"/>
              </w:rPr>
            </w:pPr>
            <w:r>
              <w:rPr>
                <w:rFonts w:ascii="Calibri" w:hAnsi="Calibri"/>
                <w:color w:val="000000"/>
                <w:sz w:val="20"/>
                <w:szCs w:val="20"/>
              </w:rPr>
              <w:t>-0.4</w:t>
            </w:r>
          </w:p>
        </w:tc>
        <w:tc>
          <w:tcPr>
            <w:tcW w:w="1134" w:type="dxa"/>
            <w:vAlign w:val="center"/>
          </w:tcPr>
          <w:p w:rsidR="00D51BB9" w:rsidRDefault="00D51BB9" w:rsidP="00A006F5">
            <w:pPr>
              <w:jc w:val="center"/>
              <w:rPr>
                <w:rFonts w:ascii="Calibri" w:hAnsi="Calibri"/>
                <w:color w:val="000000"/>
                <w:sz w:val="20"/>
                <w:szCs w:val="20"/>
              </w:rPr>
            </w:pPr>
            <w:r>
              <w:rPr>
                <w:rFonts w:ascii="Calibri" w:hAnsi="Calibri"/>
                <w:color w:val="000000"/>
                <w:sz w:val="20"/>
                <w:szCs w:val="20"/>
              </w:rPr>
              <w:t>25.3</w:t>
            </w:r>
          </w:p>
        </w:tc>
        <w:tc>
          <w:tcPr>
            <w:tcW w:w="236" w:type="dxa"/>
          </w:tcPr>
          <w:p w:rsidR="00D51BB9" w:rsidRDefault="00D51BB9" w:rsidP="00A006F5">
            <w:pPr>
              <w:jc w:val="center"/>
              <w:rPr>
                <w:rFonts w:ascii="Calibri" w:hAnsi="Calibri"/>
                <w:color w:val="000000"/>
                <w:sz w:val="20"/>
                <w:szCs w:val="20"/>
              </w:rPr>
            </w:pPr>
          </w:p>
        </w:tc>
        <w:tc>
          <w:tcPr>
            <w:tcW w:w="1134" w:type="dxa"/>
            <w:vAlign w:val="center"/>
          </w:tcPr>
          <w:p w:rsidR="00D51BB9" w:rsidRDefault="00D51BB9" w:rsidP="00A006F5">
            <w:pPr>
              <w:jc w:val="center"/>
              <w:rPr>
                <w:rFonts w:ascii="Calibri" w:hAnsi="Calibri"/>
                <w:color w:val="000000"/>
                <w:sz w:val="20"/>
                <w:szCs w:val="20"/>
              </w:rPr>
            </w:pPr>
            <w:r>
              <w:rPr>
                <w:rFonts w:ascii="Calibri" w:hAnsi="Calibri"/>
                <w:color w:val="000000"/>
                <w:sz w:val="20"/>
                <w:szCs w:val="20"/>
              </w:rPr>
              <w:t>1.2</w:t>
            </w:r>
          </w:p>
        </w:tc>
        <w:tc>
          <w:tcPr>
            <w:tcW w:w="1134" w:type="dxa"/>
            <w:vAlign w:val="center"/>
          </w:tcPr>
          <w:p w:rsidR="00D51BB9" w:rsidRDefault="00D51BB9" w:rsidP="00A006F5">
            <w:pPr>
              <w:jc w:val="center"/>
              <w:rPr>
                <w:rFonts w:ascii="Calibri" w:hAnsi="Calibri"/>
                <w:color w:val="000000"/>
                <w:sz w:val="20"/>
                <w:szCs w:val="20"/>
              </w:rPr>
            </w:pPr>
            <w:r>
              <w:rPr>
                <w:rFonts w:ascii="Calibri" w:hAnsi="Calibri"/>
                <w:color w:val="000000"/>
                <w:sz w:val="20"/>
                <w:szCs w:val="20"/>
              </w:rPr>
              <w:t>39.2</w:t>
            </w:r>
          </w:p>
        </w:tc>
        <w:tc>
          <w:tcPr>
            <w:tcW w:w="236" w:type="dxa"/>
          </w:tcPr>
          <w:p w:rsidR="00D51BB9" w:rsidRDefault="00D51BB9" w:rsidP="00A006F5">
            <w:pPr>
              <w:jc w:val="center"/>
              <w:rPr>
                <w:rFonts w:ascii="Calibri" w:hAnsi="Calibri"/>
                <w:color w:val="000000"/>
                <w:sz w:val="20"/>
                <w:szCs w:val="20"/>
              </w:rPr>
            </w:pPr>
          </w:p>
        </w:tc>
        <w:tc>
          <w:tcPr>
            <w:tcW w:w="1134" w:type="dxa"/>
            <w:vAlign w:val="center"/>
          </w:tcPr>
          <w:p w:rsidR="00D51BB9" w:rsidRDefault="00D51BB9" w:rsidP="00A006F5">
            <w:pPr>
              <w:jc w:val="center"/>
              <w:rPr>
                <w:rFonts w:ascii="Calibri" w:hAnsi="Calibri"/>
                <w:color w:val="000000"/>
                <w:sz w:val="20"/>
                <w:szCs w:val="20"/>
              </w:rPr>
            </w:pPr>
            <w:r>
              <w:rPr>
                <w:rFonts w:ascii="Calibri" w:hAnsi="Calibri"/>
                <w:color w:val="000000"/>
                <w:sz w:val="20"/>
                <w:szCs w:val="20"/>
              </w:rPr>
              <w:t>1.6</w:t>
            </w:r>
          </w:p>
        </w:tc>
        <w:tc>
          <w:tcPr>
            <w:tcW w:w="1134" w:type="dxa"/>
            <w:vAlign w:val="center"/>
          </w:tcPr>
          <w:p w:rsidR="00D51BB9" w:rsidRDefault="00D51BB9" w:rsidP="00A006F5">
            <w:pPr>
              <w:jc w:val="center"/>
              <w:rPr>
                <w:rFonts w:ascii="Calibri" w:hAnsi="Calibri"/>
                <w:color w:val="000000"/>
                <w:sz w:val="20"/>
                <w:szCs w:val="20"/>
              </w:rPr>
            </w:pPr>
            <w:r>
              <w:rPr>
                <w:rFonts w:ascii="Calibri" w:hAnsi="Calibri"/>
                <w:color w:val="000000"/>
                <w:sz w:val="20"/>
                <w:szCs w:val="20"/>
              </w:rPr>
              <w:t>42.3</w:t>
            </w:r>
          </w:p>
        </w:tc>
        <w:tc>
          <w:tcPr>
            <w:tcW w:w="236" w:type="dxa"/>
          </w:tcPr>
          <w:p w:rsidR="00D51BB9" w:rsidRDefault="00D51BB9" w:rsidP="00A006F5">
            <w:pPr>
              <w:jc w:val="center"/>
              <w:rPr>
                <w:rFonts w:ascii="Calibri" w:hAnsi="Calibri"/>
                <w:color w:val="000000"/>
                <w:sz w:val="20"/>
                <w:szCs w:val="20"/>
              </w:rPr>
            </w:pPr>
          </w:p>
        </w:tc>
        <w:tc>
          <w:tcPr>
            <w:tcW w:w="1134" w:type="dxa"/>
            <w:vAlign w:val="center"/>
          </w:tcPr>
          <w:p w:rsidR="00D51BB9" w:rsidRDefault="00D51BB9" w:rsidP="00A006F5">
            <w:pPr>
              <w:jc w:val="center"/>
              <w:rPr>
                <w:rFonts w:ascii="Calibri" w:hAnsi="Calibri"/>
                <w:color w:val="000000"/>
                <w:sz w:val="20"/>
                <w:szCs w:val="20"/>
              </w:rPr>
            </w:pPr>
            <w:r>
              <w:rPr>
                <w:rFonts w:ascii="Calibri" w:hAnsi="Calibri"/>
                <w:color w:val="000000"/>
                <w:sz w:val="20"/>
                <w:szCs w:val="20"/>
              </w:rPr>
              <w:t>-0.4</w:t>
            </w:r>
          </w:p>
        </w:tc>
        <w:tc>
          <w:tcPr>
            <w:tcW w:w="1134" w:type="dxa"/>
            <w:vAlign w:val="center"/>
          </w:tcPr>
          <w:p w:rsidR="00D51BB9" w:rsidRDefault="00D51BB9" w:rsidP="00A006F5">
            <w:pPr>
              <w:jc w:val="center"/>
              <w:rPr>
                <w:rFonts w:ascii="Calibri" w:hAnsi="Calibri"/>
                <w:color w:val="000000"/>
                <w:sz w:val="20"/>
                <w:szCs w:val="20"/>
              </w:rPr>
            </w:pPr>
            <w:r>
              <w:rPr>
                <w:rFonts w:ascii="Calibri" w:hAnsi="Calibri"/>
                <w:color w:val="000000"/>
                <w:sz w:val="20"/>
                <w:szCs w:val="20"/>
              </w:rPr>
              <w:t>34.9</w:t>
            </w:r>
          </w:p>
        </w:tc>
      </w:tr>
      <w:tr w:rsidR="00D51BB9" w:rsidRPr="00724F7E" w:rsidTr="00D51BB9">
        <w:trPr>
          <w:trHeight w:val="254"/>
          <w:jc w:val="center"/>
        </w:trPr>
        <w:tc>
          <w:tcPr>
            <w:tcW w:w="1245" w:type="dxa"/>
            <w:vAlign w:val="bottom"/>
          </w:tcPr>
          <w:p w:rsidR="00D51BB9" w:rsidRPr="003152F4" w:rsidRDefault="00D51BB9" w:rsidP="00A006F5">
            <w:pPr>
              <w:rPr>
                <w:sz w:val="20"/>
                <w:szCs w:val="20"/>
              </w:rPr>
            </w:pPr>
            <w:r w:rsidRPr="003152F4">
              <w:rPr>
                <w:sz w:val="20"/>
                <w:szCs w:val="20"/>
              </w:rPr>
              <w:t>Finland</w:t>
            </w:r>
          </w:p>
        </w:tc>
        <w:tc>
          <w:tcPr>
            <w:tcW w:w="236" w:type="dxa"/>
            <w:vAlign w:val="bottom"/>
          </w:tcPr>
          <w:p w:rsidR="00D51BB9" w:rsidRDefault="00D51BB9" w:rsidP="00A006F5">
            <w:pPr>
              <w:rPr>
                <w:rFonts w:ascii="Calibri" w:hAnsi="Calibri"/>
                <w:color w:val="000000"/>
              </w:rPr>
            </w:pPr>
          </w:p>
        </w:tc>
        <w:tc>
          <w:tcPr>
            <w:tcW w:w="1134" w:type="dxa"/>
            <w:vAlign w:val="center"/>
          </w:tcPr>
          <w:p w:rsidR="00D51BB9" w:rsidRDefault="00D51BB9" w:rsidP="00A006F5">
            <w:pPr>
              <w:jc w:val="center"/>
              <w:rPr>
                <w:rFonts w:ascii="Calibri" w:hAnsi="Calibri"/>
                <w:color w:val="000000"/>
                <w:sz w:val="20"/>
                <w:szCs w:val="20"/>
              </w:rPr>
            </w:pPr>
            <w:r>
              <w:rPr>
                <w:rFonts w:ascii="Calibri" w:hAnsi="Calibri"/>
                <w:color w:val="000000"/>
                <w:sz w:val="20"/>
                <w:szCs w:val="20"/>
              </w:rPr>
              <w:t>-0.5</w:t>
            </w:r>
          </w:p>
        </w:tc>
        <w:tc>
          <w:tcPr>
            <w:tcW w:w="1134" w:type="dxa"/>
            <w:vAlign w:val="center"/>
          </w:tcPr>
          <w:p w:rsidR="00D51BB9" w:rsidRDefault="00D51BB9" w:rsidP="00A006F5">
            <w:pPr>
              <w:jc w:val="center"/>
              <w:rPr>
                <w:rFonts w:ascii="Calibri" w:hAnsi="Calibri"/>
                <w:color w:val="000000"/>
                <w:sz w:val="20"/>
                <w:szCs w:val="20"/>
              </w:rPr>
            </w:pPr>
            <w:r>
              <w:rPr>
                <w:rFonts w:ascii="Calibri" w:hAnsi="Calibri"/>
                <w:color w:val="000000"/>
                <w:sz w:val="20"/>
                <w:szCs w:val="20"/>
              </w:rPr>
              <w:t>18.0</w:t>
            </w:r>
          </w:p>
        </w:tc>
        <w:tc>
          <w:tcPr>
            <w:tcW w:w="236" w:type="dxa"/>
          </w:tcPr>
          <w:p w:rsidR="00D51BB9" w:rsidRDefault="00D51BB9" w:rsidP="00A006F5">
            <w:pPr>
              <w:jc w:val="center"/>
              <w:rPr>
                <w:rFonts w:ascii="Calibri" w:hAnsi="Calibri"/>
                <w:color w:val="000000"/>
                <w:sz w:val="20"/>
                <w:szCs w:val="20"/>
              </w:rPr>
            </w:pPr>
          </w:p>
        </w:tc>
        <w:tc>
          <w:tcPr>
            <w:tcW w:w="1134" w:type="dxa"/>
            <w:vAlign w:val="center"/>
          </w:tcPr>
          <w:p w:rsidR="00D51BB9" w:rsidRDefault="00D51BB9" w:rsidP="00A006F5">
            <w:pPr>
              <w:jc w:val="center"/>
              <w:rPr>
                <w:rFonts w:ascii="Calibri" w:hAnsi="Calibri"/>
                <w:color w:val="000000"/>
                <w:sz w:val="20"/>
                <w:szCs w:val="20"/>
              </w:rPr>
            </w:pPr>
            <w:r>
              <w:rPr>
                <w:rFonts w:ascii="Calibri" w:hAnsi="Calibri"/>
                <w:color w:val="000000"/>
                <w:sz w:val="20"/>
                <w:szCs w:val="20"/>
              </w:rPr>
              <w:t>1.1</w:t>
            </w:r>
          </w:p>
        </w:tc>
        <w:tc>
          <w:tcPr>
            <w:tcW w:w="1134" w:type="dxa"/>
            <w:vAlign w:val="center"/>
          </w:tcPr>
          <w:p w:rsidR="00D51BB9" w:rsidRDefault="00D51BB9" w:rsidP="00A006F5">
            <w:pPr>
              <w:jc w:val="center"/>
              <w:rPr>
                <w:rFonts w:ascii="Calibri" w:hAnsi="Calibri"/>
                <w:color w:val="000000"/>
                <w:sz w:val="20"/>
                <w:szCs w:val="20"/>
              </w:rPr>
            </w:pPr>
            <w:r>
              <w:rPr>
                <w:rFonts w:ascii="Calibri" w:hAnsi="Calibri"/>
                <w:color w:val="000000"/>
                <w:sz w:val="20"/>
                <w:szCs w:val="20"/>
              </w:rPr>
              <w:t>26.6</w:t>
            </w:r>
          </w:p>
        </w:tc>
        <w:tc>
          <w:tcPr>
            <w:tcW w:w="236" w:type="dxa"/>
          </w:tcPr>
          <w:p w:rsidR="00D51BB9" w:rsidRDefault="00D51BB9" w:rsidP="00A006F5">
            <w:pPr>
              <w:jc w:val="center"/>
              <w:rPr>
                <w:rFonts w:ascii="Calibri" w:hAnsi="Calibri"/>
                <w:color w:val="000000"/>
                <w:sz w:val="20"/>
                <w:szCs w:val="20"/>
              </w:rPr>
            </w:pPr>
          </w:p>
        </w:tc>
        <w:tc>
          <w:tcPr>
            <w:tcW w:w="1134" w:type="dxa"/>
            <w:vAlign w:val="center"/>
          </w:tcPr>
          <w:p w:rsidR="00D51BB9" w:rsidRDefault="00D51BB9" w:rsidP="00A006F5">
            <w:pPr>
              <w:jc w:val="center"/>
              <w:rPr>
                <w:rFonts w:ascii="Calibri" w:hAnsi="Calibri"/>
                <w:color w:val="000000"/>
                <w:sz w:val="20"/>
                <w:szCs w:val="20"/>
              </w:rPr>
            </w:pPr>
            <w:r>
              <w:rPr>
                <w:rFonts w:ascii="Calibri" w:hAnsi="Calibri"/>
                <w:color w:val="000000"/>
                <w:sz w:val="20"/>
                <w:szCs w:val="20"/>
              </w:rPr>
              <w:t>0.6</w:t>
            </w:r>
          </w:p>
        </w:tc>
        <w:tc>
          <w:tcPr>
            <w:tcW w:w="1134" w:type="dxa"/>
            <w:vAlign w:val="center"/>
          </w:tcPr>
          <w:p w:rsidR="00D51BB9" w:rsidRDefault="00D51BB9" w:rsidP="00A006F5">
            <w:pPr>
              <w:jc w:val="center"/>
              <w:rPr>
                <w:rFonts w:ascii="Calibri" w:hAnsi="Calibri"/>
                <w:color w:val="000000"/>
                <w:sz w:val="20"/>
                <w:szCs w:val="20"/>
              </w:rPr>
            </w:pPr>
            <w:r>
              <w:rPr>
                <w:rFonts w:ascii="Calibri" w:hAnsi="Calibri"/>
                <w:color w:val="000000"/>
                <w:sz w:val="20"/>
                <w:szCs w:val="20"/>
              </w:rPr>
              <w:t>27.6</w:t>
            </w:r>
          </w:p>
        </w:tc>
        <w:tc>
          <w:tcPr>
            <w:tcW w:w="236" w:type="dxa"/>
          </w:tcPr>
          <w:p w:rsidR="00D51BB9" w:rsidRDefault="00D51BB9" w:rsidP="00A006F5">
            <w:pPr>
              <w:jc w:val="center"/>
              <w:rPr>
                <w:rFonts w:ascii="Calibri" w:hAnsi="Calibri"/>
                <w:color w:val="000000"/>
                <w:sz w:val="20"/>
                <w:szCs w:val="20"/>
              </w:rPr>
            </w:pPr>
          </w:p>
        </w:tc>
        <w:tc>
          <w:tcPr>
            <w:tcW w:w="1134" w:type="dxa"/>
            <w:vAlign w:val="center"/>
          </w:tcPr>
          <w:p w:rsidR="00D51BB9" w:rsidRDefault="00D51BB9" w:rsidP="00A006F5">
            <w:pPr>
              <w:jc w:val="center"/>
              <w:rPr>
                <w:rFonts w:ascii="Calibri" w:hAnsi="Calibri"/>
                <w:color w:val="000000"/>
                <w:sz w:val="20"/>
                <w:szCs w:val="20"/>
              </w:rPr>
            </w:pPr>
            <w:r>
              <w:rPr>
                <w:rFonts w:ascii="Calibri" w:hAnsi="Calibri"/>
                <w:color w:val="000000"/>
                <w:sz w:val="20"/>
                <w:szCs w:val="20"/>
              </w:rPr>
              <w:t>-0.7</w:t>
            </w:r>
          </w:p>
        </w:tc>
        <w:tc>
          <w:tcPr>
            <w:tcW w:w="1134" w:type="dxa"/>
            <w:vAlign w:val="center"/>
          </w:tcPr>
          <w:p w:rsidR="00D51BB9" w:rsidRDefault="00D51BB9" w:rsidP="00A006F5">
            <w:pPr>
              <w:jc w:val="center"/>
              <w:rPr>
                <w:rFonts w:ascii="Calibri" w:hAnsi="Calibri"/>
                <w:color w:val="000000"/>
                <w:sz w:val="20"/>
                <w:szCs w:val="20"/>
              </w:rPr>
            </w:pPr>
            <w:r>
              <w:rPr>
                <w:rFonts w:ascii="Calibri" w:hAnsi="Calibri"/>
                <w:color w:val="000000"/>
                <w:sz w:val="20"/>
                <w:szCs w:val="20"/>
              </w:rPr>
              <w:t>30.8</w:t>
            </w:r>
          </w:p>
        </w:tc>
      </w:tr>
      <w:tr w:rsidR="00D51BB9" w:rsidRPr="00724F7E" w:rsidTr="00D51BB9">
        <w:trPr>
          <w:trHeight w:val="254"/>
          <w:jc w:val="center"/>
        </w:trPr>
        <w:tc>
          <w:tcPr>
            <w:tcW w:w="1245" w:type="dxa"/>
            <w:vAlign w:val="bottom"/>
          </w:tcPr>
          <w:p w:rsidR="00D51BB9" w:rsidRPr="003152F4" w:rsidRDefault="00D51BB9" w:rsidP="00A006F5">
            <w:pPr>
              <w:rPr>
                <w:sz w:val="20"/>
                <w:szCs w:val="20"/>
              </w:rPr>
            </w:pPr>
            <w:r w:rsidRPr="003152F4">
              <w:rPr>
                <w:sz w:val="20"/>
                <w:szCs w:val="20"/>
              </w:rPr>
              <w:t>France</w:t>
            </w:r>
          </w:p>
        </w:tc>
        <w:tc>
          <w:tcPr>
            <w:tcW w:w="236" w:type="dxa"/>
            <w:vAlign w:val="bottom"/>
          </w:tcPr>
          <w:p w:rsidR="00D51BB9" w:rsidRDefault="00D51BB9" w:rsidP="00A006F5">
            <w:pPr>
              <w:rPr>
                <w:rFonts w:ascii="Calibri" w:hAnsi="Calibri"/>
                <w:color w:val="000000"/>
              </w:rPr>
            </w:pPr>
          </w:p>
        </w:tc>
        <w:tc>
          <w:tcPr>
            <w:tcW w:w="1134" w:type="dxa"/>
            <w:vAlign w:val="center"/>
          </w:tcPr>
          <w:p w:rsidR="00D51BB9" w:rsidRDefault="00D51BB9" w:rsidP="00A006F5">
            <w:pPr>
              <w:jc w:val="center"/>
              <w:rPr>
                <w:rFonts w:ascii="Calibri" w:hAnsi="Calibri"/>
                <w:color w:val="000000"/>
                <w:sz w:val="20"/>
                <w:szCs w:val="20"/>
              </w:rPr>
            </w:pPr>
            <w:r>
              <w:rPr>
                <w:rFonts w:ascii="Calibri" w:hAnsi="Calibri"/>
                <w:color w:val="000000"/>
                <w:sz w:val="20"/>
                <w:szCs w:val="20"/>
              </w:rPr>
              <w:t>-0.3</w:t>
            </w:r>
          </w:p>
        </w:tc>
        <w:tc>
          <w:tcPr>
            <w:tcW w:w="1134" w:type="dxa"/>
            <w:vAlign w:val="center"/>
          </w:tcPr>
          <w:p w:rsidR="00D51BB9" w:rsidRDefault="00D51BB9" w:rsidP="00A006F5">
            <w:pPr>
              <w:jc w:val="center"/>
              <w:rPr>
                <w:rFonts w:ascii="Calibri" w:hAnsi="Calibri"/>
                <w:color w:val="000000"/>
                <w:sz w:val="20"/>
                <w:szCs w:val="20"/>
              </w:rPr>
            </w:pPr>
            <w:r>
              <w:rPr>
                <w:rFonts w:ascii="Calibri" w:hAnsi="Calibri"/>
                <w:color w:val="000000"/>
                <w:sz w:val="20"/>
                <w:szCs w:val="20"/>
              </w:rPr>
              <w:t>25.3</w:t>
            </w:r>
          </w:p>
        </w:tc>
        <w:tc>
          <w:tcPr>
            <w:tcW w:w="236" w:type="dxa"/>
          </w:tcPr>
          <w:p w:rsidR="00D51BB9" w:rsidRDefault="00D51BB9" w:rsidP="00A006F5">
            <w:pPr>
              <w:jc w:val="center"/>
              <w:rPr>
                <w:rFonts w:ascii="Calibri" w:hAnsi="Calibri"/>
                <w:color w:val="000000"/>
                <w:sz w:val="20"/>
                <w:szCs w:val="20"/>
              </w:rPr>
            </w:pPr>
          </w:p>
        </w:tc>
        <w:tc>
          <w:tcPr>
            <w:tcW w:w="1134" w:type="dxa"/>
            <w:vAlign w:val="center"/>
          </w:tcPr>
          <w:p w:rsidR="00D51BB9" w:rsidRDefault="00D51BB9" w:rsidP="00A006F5">
            <w:pPr>
              <w:jc w:val="center"/>
              <w:rPr>
                <w:rFonts w:ascii="Calibri" w:hAnsi="Calibri"/>
                <w:color w:val="000000"/>
                <w:sz w:val="20"/>
                <w:szCs w:val="20"/>
              </w:rPr>
            </w:pPr>
            <w:r>
              <w:rPr>
                <w:rFonts w:ascii="Calibri" w:hAnsi="Calibri"/>
                <w:color w:val="000000"/>
                <w:sz w:val="20"/>
                <w:szCs w:val="20"/>
              </w:rPr>
              <w:t>1.3</w:t>
            </w:r>
          </w:p>
        </w:tc>
        <w:tc>
          <w:tcPr>
            <w:tcW w:w="1134" w:type="dxa"/>
            <w:vAlign w:val="center"/>
          </w:tcPr>
          <w:p w:rsidR="00D51BB9" w:rsidRDefault="00D51BB9" w:rsidP="00A006F5">
            <w:pPr>
              <w:jc w:val="center"/>
              <w:rPr>
                <w:rFonts w:ascii="Calibri" w:hAnsi="Calibri"/>
                <w:color w:val="000000"/>
                <w:sz w:val="20"/>
                <w:szCs w:val="20"/>
              </w:rPr>
            </w:pPr>
            <w:r>
              <w:rPr>
                <w:rFonts w:ascii="Calibri" w:hAnsi="Calibri"/>
                <w:color w:val="000000"/>
                <w:sz w:val="20"/>
                <w:szCs w:val="20"/>
              </w:rPr>
              <w:t>39.2</w:t>
            </w:r>
          </w:p>
        </w:tc>
        <w:tc>
          <w:tcPr>
            <w:tcW w:w="236" w:type="dxa"/>
          </w:tcPr>
          <w:p w:rsidR="00D51BB9" w:rsidRDefault="00D51BB9" w:rsidP="00A006F5">
            <w:pPr>
              <w:jc w:val="center"/>
              <w:rPr>
                <w:rFonts w:ascii="Calibri" w:hAnsi="Calibri"/>
                <w:color w:val="000000"/>
                <w:sz w:val="20"/>
                <w:szCs w:val="20"/>
              </w:rPr>
            </w:pPr>
          </w:p>
        </w:tc>
        <w:tc>
          <w:tcPr>
            <w:tcW w:w="1134" w:type="dxa"/>
            <w:vAlign w:val="center"/>
          </w:tcPr>
          <w:p w:rsidR="00D51BB9" w:rsidRDefault="00D51BB9" w:rsidP="00A006F5">
            <w:pPr>
              <w:jc w:val="center"/>
              <w:rPr>
                <w:rFonts w:ascii="Calibri" w:hAnsi="Calibri"/>
                <w:color w:val="000000"/>
                <w:sz w:val="20"/>
                <w:szCs w:val="20"/>
              </w:rPr>
            </w:pPr>
            <w:r>
              <w:rPr>
                <w:rFonts w:ascii="Calibri" w:hAnsi="Calibri"/>
                <w:color w:val="000000"/>
                <w:sz w:val="20"/>
                <w:szCs w:val="20"/>
              </w:rPr>
              <w:t>0.6</w:t>
            </w:r>
          </w:p>
        </w:tc>
        <w:tc>
          <w:tcPr>
            <w:tcW w:w="1134" w:type="dxa"/>
            <w:vAlign w:val="center"/>
          </w:tcPr>
          <w:p w:rsidR="00D51BB9" w:rsidRDefault="00D51BB9" w:rsidP="00A006F5">
            <w:pPr>
              <w:jc w:val="center"/>
              <w:rPr>
                <w:rFonts w:ascii="Calibri" w:hAnsi="Calibri"/>
                <w:color w:val="000000"/>
                <w:sz w:val="20"/>
                <w:szCs w:val="20"/>
              </w:rPr>
            </w:pPr>
            <w:r>
              <w:rPr>
                <w:rFonts w:ascii="Calibri" w:hAnsi="Calibri"/>
                <w:color w:val="000000"/>
                <w:sz w:val="20"/>
                <w:szCs w:val="20"/>
              </w:rPr>
              <w:t>44.6</w:t>
            </w:r>
          </w:p>
        </w:tc>
        <w:tc>
          <w:tcPr>
            <w:tcW w:w="236" w:type="dxa"/>
          </w:tcPr>
          <w:p w:rsidR="00D51BB9" w:rsidRDefault="00D51BB9" w:rsidP="00A006F5">
            <w:pPr>
              <w:jc w:val="center"/>
              <w:rPr>
                <w:rFonts w:ascii="Calibri" w:hAnsi="Calibri"/>
                <w:color w:val="000000"/>
                <w:sz w:val="20"/>
                <w:szCs w:val="20"/>
              </w:rPr>
            </w:pPr>
          </w:p>
        </w:tc>
        <w:tc>
          <w:tcPr>
            <w:tcW w:w="1134" w:type="dxa"/>
            <w:vAlign w:val="center"/>
          </w:tcPr>
          <w:p w:rsidR="00D51BB9" w:rsidRDefault="00D51BB9" w:rsidP="00A006F5">
            <w:pPr>
              <w:jc w:val="center"/>
              <w:rPr>
                <w:rFonts w:ascii="Calibri" w:hAnsi="Calibri"/>
                <w:color w:val="000000"/>
                <w:sz w:val="20"/>
                <w:szCs w:val="20"/>
              </w:rPr>
            </w:pPr>
            <w:r>
              <w:rPr>
                <w:rFonts w:ascii="Calibri" w:hAnsi="Calibri"/>
                <w:color w:val="000000"/>
                <w:sz w:val="20"/>
                <w:szCs w:val="20"/>
              </w:rPr>
              <w:t>0.1</w:t>
            </w:r>
          </w:p>
        </w:tc>
        <w:tc>
          <w:tcPr>
            <w:tcW w:w="1134" w:type="dxa"/>
            <w:vAlign w:val="center"/>
          </w:tcPr>
          <w:p w:rsidR="00D51BB9" w:rsidRDefault="00D51BB9" w:rsidP="00A006F5">
            <w:pPr>
              <w:jc w:val="center"/>
              <w:rPr>
                <w:rFonts w:ascii="Calibri" w:hAnsi="Calibri"/>
                <w:color w:val="000000"/>
                <w:sz w:val="20"/>
                <w:szCs w:val="20"/>
              </w:rPr>
            </w:pPr>
            <w:r>
              <w:rPr>
                <w:rFonts w:ascii="Calibri" w:hAnsi="Calibri"/>
                <w:color w:val="000000"/>
                <w:sz w:val="20"/>
                <w:szCs w:val="20"/>
              </w:rPr>
              <w:t>34.6</w:t>
            </w:r>
          </w:p>
        </w:tc>
      </w:tr>
      <w:tr w:rsidR="00D51BB9" w:rsidRPr="00724F7E" w:rsidTr="00D51BB9">
        <w:trPr>
          <w:trHeight w:val="254"/>
          <w:jc w:val="center"/>
        </w:trPr>
        <w:tc>
          <w:tcPr>
            <w:tcW w:w="1245" w:type="dxa"/>
            <w:vAlign w:val="bottom"/>
          </w:tcPr>
          <w:p w:rsidR="00D51BB9" w:rsidRPr="003152F4" w:rsidRDefault="00D51BB9" w:rsidP="00A006F5">
            <w:pPr>
              <w:rPr>
                <w:sz w:val="20"/>
                <w:szCs w:val="20"/>
              </w:rPr>
            </w:pPr>
            <w:r w:rsidRPr="003152F4">
              <w:rPr>
                <w:sz w:val="20"/>
                <w:szCs w:val="20"/>
              </w:rPr>
              <w:t>Austria</w:t>
            </w:r>
          </w:p>
        </w:tc>
        <w:tc>
          <w:tcPr>
            <w:tcW w:w="236" w:type="dxa"/>
            <w:vAlign w:val="bottom"/>
          </w:tcPr>
          <w:p w:rsidR="00D51BB9" w:rsidRDefault="00D51BB9" w:rsidP="00A006F5">
            <w:pPr>
              <w:rPr>
                <w:rFonts w:ascii="Calibri" w:hAnsi="Calibri"/>
                <w:color w:val="000000"/>
              </w:rPr>
            </w:pPr>
          </w:p>
        </w:tc>
        <w:tc>
          <w:tcPr>
            <w:tcW w:w="1134" w:type="dxa"/>
            <w:vAlign w:val="center"/>
          </w:tcPr>
          <w:p w:rsidR="00D51BB9" w:rsidRDefault="00D51BB9" w:rsidP="00A006F5">
            <w:pPr>
              <w:jc w:val="center"/>
              <w:rPr>
                <w:rFonts w:ascii="Calibri" w:hAnsi="Calibri"/>
                <w:color w:val="000000"/>
                <w:sz w:val="20"/>
                <w:szCs w:val="20"/>
              </w:rPr>
            </w:pPr>
            <w:r>
              <w:rPr>
                <w:rFonts w:ascii="Calibri" w:hAnsi="Calibri"/>
                <w:color w:val="000000"/>
                <w:sz w:val="20"/>
                <w:szCs w:val="20"/>
              </w:rPr>
              <w:t>-0.6</w:t>
            </w:r>
          </w:p>
        </w:tc>
        <w:tc>
          <w:tcPr>
            <w:tcW w:w="1134" w:type="dxa"/>
            <w:vAlign w:val="center"/>
          </w:tcPr>
          <w:p w:rsidR="00D51BB9" w:rsidRDefault="00D51BB9" w:rsidP="00A006F5">
            <w:pPr>
              <w:jc w:val="center"/>
              <w:rPr>
                <w:rFonts w:ascii="Calibri" w:hAnsi="Calibri"/>
                <w:color w:val="000000"/>
                <w:sz w:val="20"/>
                <w:szCs w:val="20"/>
              </w:rPr>
            </w:pPr>
            <w:r>
              <w:rPr>
                <w:rFonts w:ascii="Calibri" w:hAnsi="Calibri"/>
                <w:color w:val="000000"/>
                <w:sz w:val="20"/>
                <w:szCs w:val="20"/>
              </w:rPr>
              <w:t>24.2</w:t>
            </w:r>
          </w:p>
        </w:tc>
        <w:tc>
          <w:tcPr>
            <w:tcW w:w="236" w:type="dxa"/>
          </w:tcPr>
          <w:p w:rsidR="00D51BB9" w:rsidRDefault="00D51BB9" w:rsidP="00A006F5">
            <w:pPr>
              <w:jc w:val="center"/>
              <w:rPr>
                <w:rFonts w:ascii="Calibri" w:hAnsi="Calibri"/>
                <w:color w:val="000000"/>
                <w:sz w:val="20"/>
                <w:szCs w:val="20"/>
              </w:rPr>
            </w:pPr>
          </w:p>
        </w:tc>
        <w:tc>
          <w:tcPr>
            <w:tcW w:w="1134" w:type="dxa"/>
            <w:vAlign w:val="center"/>
          </w:tcPr>
          <w:p w:rsidR="00D51BB9" w:rsidRDefault="00D51BB9" w:rsidP="00A006F5">
            <w:pPr>
              <w:jc w:val="center"/>
              <w:rPr>
                <w:rFonts w:ascii="Calibri" w:hAnsi="Calibri"/>
                <w:color w:val="000000"/>
                <w:sz w:val="20"/>
                <w:szCs w:val="20"/>
              </w:rPr>
            </w:pPr>
            <w:r>
              <w:rPr>
                <w:rFonts w:ascii="Calibri" w:hAnsi="Calibri"/>
                <w:color w:val="000000"/>
                <w:sz w:val="20"/>
                <w:szCs w:val="20"/>
              </w:rPr>
              <w:t>0.9</w:t>
            </w:r>
          </w:p>
        </w:tc>
        <w:tc>
          <w:tcPr>
            <w:tcW w:w="1134" w:type="dxa"/>
            <w:vAlign w:val="center"/>
          </w:tcPr>
          <w:p w:rsidR="00D51BB9" w:rsidRDefault="00D51BB9" w:rsidP="00A006F5">
            <w:pPr>
              <w:jc w:val="center"/>
              <w:rPr>
                <w:rFonts w:ascii="Calibri" w:hAnsi="Calibri"/>
                <w:color w:val="000000"/>
                <w:sz w:val="20"/>
                <w:szCs w:val="20"/>
              </w:rPr>
            </w:pPr>
            <w:r>
              <w:rPr>
                <w:rFonts w:ascii="Calibri" w:hAnsi="Calibri"/>
                <w:color w:val="000000"/>
                <w:sz w:val="20"/>
                <w:szCs w:val="20"/>
              </w:rPr>
              <w:t>41.6</w:t>
            </w:r>
          </w:p>
        </w:tc>
        <w:tc>
          <w:tcPr>
            <w:tcW w:w="236" w:type="dxa"/>
          </w:tcPr>
          <w:p w:rsidR="00D51BB9" w:rsidRDefault="00D51BB9" w:rsidP="00A006F5">
            <w:pPr>
              <w:jc w:val="center"/>
              <w:rPr>
                <w:rFonts w:ascii="Calibri" w:hAnsi="Calibri"/>
                <w:color w:val="000000"/>
                <w:sz w:val="20"/>
                <w:szCs w:val="20"/>
              </w:rPr>
            </w:pPr>
          </w:p>
        </w:tc>
        <w:tc>
          <w:tcPr>
            <w:tcW w:w="1134" w:type="dxa"/>
            <w:vAlign w:val="center"/>
          </w:tcPr>
          <w:p w:rsidR="00D51BB9" w:rsidRDefault="00D51BB9" w:rsidP="00A006F5">
            <w:pPr>
              <w:jc w:val="center"/>
              <w:rPr>
                <w:rFonts w:ascii="Calibri" w:hAnsi="Calibri"/>
                <w:color w:val="000000"/>
                <w:sz w:val="20"/>
                <w:szCs w:val="20"/>
              </w:rPr>
            </w:pPr>
            <w:r>
              <w:rPr>
                <w:rFonts w:ascii="Calibri" w:hAnsi="Calibri"/>
                <w:color w:val="000000"/>
                <w:sz w:val="20"/>
                <w:szCs w:val="20"/>
              </w:rPr>
              <w:t>1.1</w:t>
            </w:r>
          </w:p>
        </w:tc>
        <w:tc>
          <w:tcPr>
            <w:tcW w:w="1134" w:type="dxa"/>
            <w:vAlign w:val="center"/>
          </w:tcPr>
          <w:p w:rsidR="00D51BB9" w:rsidRDefault="00D51BB9" w:rsidP="00A006F5">
            <w:pPr>
              <w:jc w:val="center"/>
              <w:rPr>
                <w:rFonts w:ascii="Calibri" w:hAnsi="Calibri"/>
                <w:color w:val="000000"/>
                <w:sz w:val="20"/>
                <w:szCs w:val="20"/>
              </w:rPr>
            </w:pPr>
            <w:r>
              <w:rPr>
                <w:rFonts w:ascii="Calibri" w:hAnsi="Calibri"/>
                <w:color w:val="000000"/>
                <w:sz w:val="20"/>
                <w:szCs w:val="20"/>
              </w:rPr>
              <w:t>41.9</w:t>
            </w:r>
          </w:p>
        </w:tc>
        <w:tc>
          <w:tcPr>
            <w:tcW w:w="236" w:type="dxa"/>
          </w:tcPr>
          <w:p w:rsidR="00D51BB9" w:rsidRDefault="00D51BB9" w:rsidP="00A006F5">
            <w:pPr>
              <w:jc w:val="center"/>
              <w:rPr>
                <w:rFonts w:ascii="Calibri" w:hAnsi="Calibri"/>
                <w:color w:val="000000"/>
                <w:sz w:val="20"/>
                <w:szCs w:val="20"/>
              </w:rPr>
            </w:pPr>
          </w:p>
        </w:tc>
        <w:tc>
          <w:tcPr>
            <w:tcW w:w="1134" w:type="dxa"/>
            <w:vAlign w:val="center"/>
          </w:tcPr>
          <w:p w:rsidR="00D51BB9" w:rsidRDefault="00D51BB9" w:rsidP="00A006F5">
            <w:pPr>
              <w:jc w:val="center"/>
              <w:rPr>
                <w:rFonts w:ascii="Calibri" w:hAnsi="Calibri"/>
                <w:color w:val="000000"/>
                <w:sz w:val="20"/>
                <w:szCs w:val="20"/>
              </w:rPr>
            </w:pPr>
            <w:r>
              <w:rPr>
                <w:rFonts w:ascii="Calibri" w:hAnsi="Calibri"/>
                <w:color w:val="000000"/>
                <w:sz w:val="20"/>
                <w:szCs w:val="20"/>
              </w:rPr>
              <w:t>0.0</w:t>
            </w:r>
          </w:p>
        </w:tc>
        <w:tc>
          <w:tcPr>
            <w:tcW w:w="1134" w:type="dxa"/>
            <w:vAlign w:val="center"/>
          </w:tcPr>
          <w:p w:rsidR="00D51BB9" w:rsidRDefault="00D51BB9" w:rsidP="00A006F5">
            <w:pPr>
              <w:jc w:val="center"/>
              <w:rPr>
                <w:rFonts w:ascii="Calibri" w:hAnsi="Calibri"/>
                <w:color w:val="000000"/>
                <w:sz w:val="20"/>
                <w:szCs w:val="20"/>
              </w:rPr>
            </w:pPr>
            <w:r>
              <w:rPr>
                <w:rFonts w:ascii="Calibri" w:hAnsi="Calibri"/>
                <w:color w:val="000000"/>
                <w:sz w:val="20"/>
                <w:szCs w:val="20"/>
              </w:rPr>
              <w:t>32.3</w:t>
            </w:r>
          </w:p>
        </w:tc>
      </w:tr>
      <w:tr w:rsidR="00D51BB9" w:rsidRPr="00724F7E" w:rsidTr="00D51BB9">
        <w:trPr>
          <w:trHeight w:val="254"/>
          <w:jc w:val="center"/>
        </w:trPr>
        <w:tc>
          <w:tcPr>
            <w:tcW w:w="1245" w:type="dxa"/>
            <w:vAlign w:val="bottom"/>
          </w:tcPr>
          <w:p w:rsidR="00D51BB9" w:rsidRPr="003152F4" w:rsidRDefault="00D51BB9" w:rsidP="00A006F5">
            <w:pPr>
              <w:rPr>
                <w:sz w:val="20"/>
                <w:szCs w:val="20"/>
              </w:rPr>
            </w:pPr>
            <w:r w:rsidRPr="003152F4">
              <w:rPr>
                <w:sz w:val="20"/>
                <w:szCs w:val="20"/>
              </w:rPr>
              <w:t>Belgium</w:t>
            </w:r>
          </w:p>
        </w:tc>
        <w:tc>
          <w:tcPr>
            <w:tcW w:w="236" w:type="dxa"/>
            <w:vAlign w:val="bottom"/>
          </w:tcPr>
          <w:p w:rsidR="00D51BB9" w:rsidRDefault="00D51BB9" w:rsidP="00A006F5">
            <w:pPr>
              <w:rPr>
                <w:rFonts w:ascii="Calibri" w:hAnsi="Calibri"/>
                <w:color w:val="000000"/>
              </w:rPr>
            </w:pPr>
          </w:p>
        </w:tc>
        <w:tc>
          <w:tcPr>
            <w:tcW w:w="1134" w:type="dxa"/>
            <w:vAlign w:val="center"/>
          </w:tcPr>
          <w:p w:rsidR="00D51BB9" w:rsidRDefault="00D51BB9" w:rsidP="00A006F5">
            <w:pPr>
              <w:jc w:val="center"/>
              <w:rPr>
                <w:rFonts w:ascii="Calibri" w:hAnsi="Calibri"/>
                <w:color w:val="000000"/>
                <w:sz w:val="20"/>
                <w:szCs w:val="20"/>
              </w:rPr>
            </w:pPr>
            <w:r>
              <w:rPr>
                <w:rFonts w:ascii="Calibri" w:hAnsi="Calibri"/>
                <w:color w:val="000000"/>
                <w:sz w:val="20"/>
                <w:szCs w:val="20"/>
              </w:rPr>
              <w:t>-0.4</w:t>
            </w:r>
          </w:p>
        </w:tc>
        <w:tc>
          <w:tcPr>
            <w:tcW w:w="1134" w:type="dxa"/>
            <w:vAlign w:val="center"/>
          </w:tcPr>
          <w:p w:rsidR="00D51BB9" w:rsidRDefault="00D51BB9" w:rsidP="00A006F5">
            <w:pPr>
              <w:jc w:val="center"/>
              <w:rPr>
                <w:rFonts w:ascii="Calibri" w:hAnsi="Calibri"/>
                <w:color w:val="000000"/>
                <w:sz w:val="20"/>
                <w:szCs w:val="20"/>
              </w:rPr>
            </w:pPr>
            <w:r>
              <w:rPr>
                <w:rFonts w:ascii="Calibri" w:hAnsi="Calibri"/>
                <w:color w:val="000000"/>
                <w:sz w:val="20"/>
                <w:szCs w:val="20"/>
              </w:rPr>
              <w:t>26.6</w:t>
            </w:r>
          </w:p>
        </w:tc>
        <w:tc>
          <w:tcPr>
            <w:tcW w:w="236" w:type="dxa"/>
          </w:tcPr>
          <w:p w:rsidR="00D51BB9" w:rsidRDefault="00D51BB9" w:rsidP="00A006F5">
            <w:pPr>
              <w:jc w:val="center"/>
              <w:rPr>
                <w:rFonts w:ascii="Calibri" w:hAnsi="Calibri"/>
                <w:color w:val="000000"/>
                <w:sz w:val="20"/>
                <w:szCs w:val="20"/>
              </w:rPr>
            </w:pPr>
          </w:p>
        </w:tc>
        <w:tc>
          <w:tcPr>
            <w:tcW w:w="1134" w:type="dxa"/>
            <w:vAlign w:val="center"/>
          </w:tcPr>
          <w:p w:rsidR="00D51BB9" w:rsidRDefault="00D51BB9" w:rsidP="00A006F5">
            <w:pPr>
              <w:jc w:val="center"/>
              <w:rPr>
                <w:rFonts w:ascii="Calibri" w:hAnsi="Calibri"/>
                <w:color w:val="000000"/>
                <w:sz w:val="20"/>
                <w:szCs w:val="20"/>
              </w:rPr>
            </w:pPr>
            <w:r>
              <w:rPr>
                <w:rFonts w:ascii="Calibri" w:hAnsi="Calibri"/>
                <w:color w:val="000000"/>
                <w:sz w:val="20"/>
                <w:szCs w:val="20"/>
              </w:rPr>
              <w:t>1.2</w:t>
            </w:r>
          </w:p>
        </w:tc>
        <w:tc>
          <w:tcPr>
            <w:tcW w:w="1134" w:type="dxa"/>
            <w:vAlign w:val="center"/>
          </w:tcPr>
          <w:p w:rsidR="00D51BB9" w:rsidRDefault="00D51BB9" w:rsidP="00A006F5">
            <w:pPr>
              <w:jc w:val="center"/>
              <w:rPr>
                <w:rFonts w:ascii="Calibri" w:hAnsi="Calibri"/>
                <w:color w:val="000000"/>
                <w:sz w:val="20"/>
                <w:szCs w:val="20"/>
              </w:rPr>
            </w:pPr>
            <w:r>
              <w:rPr>
                <w:rFonts w:ascii="Calibri" w:hAnsi="Calibri"/>
                <w:color w:val="000000"/>
                <w:sz w:val="20"/>
                <w:szCs w:val="20"/>
              </w:rPr>
              <w:t>37.3</w:t>
            </w:r>
          </w:p>
        </w:tc>
        <w:tc>
          <w:tcPr>
            <w:tcW w:w="236" w:type="dxa"/>
          </w:tcPr>
          <w:p w:rsidR="00D51BB9" w:rsidRDefault="00D51BB9" w:rsidP="00A006F5">
            <w:pPr>
              <w:jc w:val="center"/>
              <w:rPr>
                <w:rFonts w:ascii="Calibri" w:hAnsi="Calibri"/>
                <w:color w:val="000000"/>
                <w:sz w:val="20"/>
                <w:szCs w:val="20"/>
              </w:rPr>
            </w:pPr>
          </w:p>
        </w:tc>
        <w:tc>
          <w:tcPr>
            <w:tcW w:w="1134" w:type="dxa"/>
            <w:vAlign w:val="center"/>
          </w:tcPr>
          <w:p w:rsidR="00D51BB9" w:rsidRDefault="00D51BB9" w:rsidP="00A006F5">
            <w:pPr>
              <w:jc w:val="center"/>
              <w:rPr>
                <w:rFonts w:ascii="Calibri" w:hAnsi="Calibri"/>
                <w:color w:val="000000"/>
                <w:sz w:val="20"/>
                <w:szCs w:val="20"/>
              </w:rPr>
            </w:pPr>
            <w:r>
              <w:rPr>
                <w:rFonts w:ascii="Calibri" w:hAnsi="Calibri"/>
                <w:color w:val="000000"/>
                <w:sz w:val="20"/>
                <w:szCs w:val="20"/>
              </w:rPr>
              <w:t>-0.1</w:t>
            </w:r>
          </w:p>
        </w:tc>
        <w:tc>
          <w:tcPr>
            <w:tcW w:w="1134" w:type="dxa"/>
            <w:vAlign w:val="center"/>
          </w:tcPr>
          <w:p w:rsidR="00D51BB9" w:rsidRDefault="00D51BB9" w:rsidP="00A006F5">
            <w:pPr>
              <w:jc w:val="center"/>
              <w:rPr>
                <w:rFonts w:ascii="Calibri" w:hAnsi="Calibri"/>
                <w:color w:val="000000"/>
                <w:sz w:val="20"/>
                <w:szCs w:val="20"/>
              </w:rPr>
            </w:pPr>
            <w:r>
              <w:rPr>
                <w:rFonts w:ascii="Calibri" w:hAnsi="Calibri"/>
                <w:color w:val="000000"/>
                <w:sz w:val="20"/>
                <w:szCs w:val="20"/>
              </w:rPr>
              <w:t>47.4</w:t>
            </w:r>
          </w:p>
        </w:tc>
        <w:tc>
          <w:tcPr>
            <w:tcW w:w="236" w:type="dxa"/>
          </w:tcPr>
          <w:p w:rsidR="00D51BB9" w:rsidRDefault="00D51BB9" w:rsidP="00A006F5">
            <w:pPr>
              <w:jc w:val="center"/>
              <w:rPr>
                <w:rFonts w:ascii="Calibri" w:hAnsi="Calibri"/>
                <w:color w:val="000000"/>
                <w:sz w:val="20"/>
                <w:szCs w:val="20"/>
              </w:rPr>
            </w:pPr>
          </w:p>
        </w:tc>
        <w:tc>
          <w:tcPr>
            <w:tcW w:w="1134" w:type="dxa"/>
            <w:vAlign w:val="center"/>
          </w:tcPr>
          <w:p w:rsidR="00D51BB9" w:rsidRDefault="00D51BB9" w:rsidP="00A006F5">
            <w:pPr>
              <w:jc w:val="center"/>
              <w:rPr>
                <w:rFonts w:ascii="Calibri" w:hAnsi="Calibri"/>
                <w:color w:val="000000"/>
                <w:sz w:val="20"/>
                <w:szCs w:val="20"/>
              </w:rPr>
            </w:pPr>
            <w:r>
              <w:rPr>
                <w:rFonts w:ascii="Calibri" w:hAnsi="Calibri"/>
                <w:color w:val="000000"/>
                <w:sz w:val="20"/>
                <w:szCs w:val="20"/>
              </w:rPr>
              <w:t>1.4</w:t>
            </w:r>
          </w:p>
        </w:tc>
        <w:tc>
          <w:tcPr>
            <w:tcW w:w="1134" w:type="dxa"/>
            <w:vAlign w:val="center"/>
          </w:tcPr>
          <w:p w:rsidR="00D51BB9" w:rsidRDefault="00D51BB9" w:rsidP="00A006F5">
            <w:pPr>
              <w:jc w:val="center"/>
              <w:rPr>
                <w:rFonts w:ascii="Calibri" w:hAnsi="Calibri"/>
                <w:color w:val="000000"/>
                <w:sz w:val="20"/>
                <w:szCs w:val="20"/>
              </w:rPr>
            </w:pPr>
            <w:r>
              <w:rPr>
                <w:rFonts w:ascii="Calibri" w:hAnsi="Calibri"/>
                <w:color w:val="000000"/>
                <w:sz w:val="20"/>
                <w:szCs w:val="20"/>
              </w:rPr>
              <w:t>33.8</w:t>
            </w:r>
          </w:p>
        </w:tc>
      </w:tr>
      <w:tr w:rsidR="00D51BB9" w:rsidRPr="00724F7E" w:rsidTr="00D51BB9">
        <w:trPr>
          <w:trHeight w:val="254"/>
          <w:jc w:val="center"/>
        </w:trPr>
        <w:tc>
          <w:tcPr>
            <w:tcW w:w="1245" w:type="dxa"/>
            <w:vAlign w:val="bottom"/>
          </w:tcPr>
          <w:p w:rsidR="00D51BB9" w:rsidRPr="003152F4" w:rsidRDefault="00D51BB9" w:rsidP="00A006F5">
            <w:pPr>
              <w:rPr>
                <w:sz w:val="20"/>
                <w:szCs w:val="20"/>
              </w:rPr>
            </w:pPr>
            <w:r w:rsidRPr="003152F4">
              <w:rPr>
                <w:sz w:val="20"/>
                <w:szCs w:val="20"/>
              </w:rPr>
              <w:t>Italy</w:t>
            </w:r>
          </w:p>
        </w:tc>
        <w:tc>
          <w:tcPr>
            <w:tcW w:w="236" w:type="dxa"/>
            <w:vAlign w:val="bottom"/>
          </w:tcPr>
          <w:p w:rsidR="00D51BB9" w:rsidRDefault="00D51BB9" w:rsidP="00A006F5">
            <w:pPr>
              <w:rPr>
                <w:rFonts w:ascii="Calibri" w:hAnsi="Calibri"/>
                <w:color w:val="000000"/>
              </w:rPr>
            </w:pPr>
          </w:p>
        </w:tc>
        <w:tc>
          <w:tcPr>
            <w:tcW w:w="1134" w:type="dxa"/>
            <w:vAlign w:val="center"/>
          </w:tcPr>
          <w:p w:rsidR="00D51BB9" w:rsidRDefault="00D51BB9" w:rsidP="00A006F5">
            <w:pPr>
              <w:jc w:val="center"/>
              <w:rPr>
                <w:rFonts w:ascii="Calibri" w:hAnsi="Calibri"/>
                <w:color w:val="000000"/>
                <w:sz w:val="20"/>
                <w:szCs w:val="20"/>
              </w:rPr>
            </w:pPr>
            <w:r>
              <w:rPr>
                <w:rFonts w:ascii="Calibri" w:hAnsi="Calibri"/>
                <w:color w:val="000000"/>
                <w:sz w:val="20"/>
                <w:szCs w:val="20"/>
              </w:rPr>
              <w:t>-0.4</w:t>
            </w:r>
          </w:p>
        </w:tc>
        <w:tc>
          <w:tcPr>
            <w:tcW w:w="1134" w:type="dxa"/>
            <w:vAlign w:val="center"/>
          </w:tcPr>
          <w:p w:rsidR="00D51BB9" w:rsidRDefault="00D51BB9" w:rsidP="00A006F5">
            <w:pPr>
              <w:jc w:val="center"/>
              <w:rPr>
                <w:rFonts w:ascii="Calibri" w:hAnsi="Calibri"/>
                <w:color w:val="000000"/>
                <w:sz w:val="20"/>
                <w:szCs w:val="20"/>
              </w:rPr>
            </w:pPr>
            <w:r>
              <w:rPr>
                <w:rFonts w:ascii="Calibri" w:hAnsi="Calibri"/>
                <w:color w:val="000000"/>
                <w:sz w:val="20"/>
                <w:szCs w:val="20"/>
              </w:rPr>
              <w:t>22.1</w:t>
            </w:r>
          </w:p>
        </w:tc>
        <w:tc>
          <w:tcPr>
            <w:tcW w:w="236" w:type="dxa"/>
          </w:tcPr>
          <w:p w:rsidR="00D51BB9" w:rsidRDefault="00D51BB9" w:rsidP="00A006F5">
            <w:pPr>
              <w:jc w:val="center"/>
              <w:rPr>
                <w:rFonts w:ascii="Calibri" w:hAnsi="Calibri"/>
                <w:color w:val="000000"/>
                <w:sz w:val="20"/>
                <w:szCs w:val="20"/>
              </w:rPr>
            </w:pPr>
          </w:p>
        </w:tc>
        <w:tc>
          <w:tcPr>
            <w:tcW w:w="1134" w:type="dxa"/>
            <w:vAlign w:val="center"/>
          </w:tcPr>
          <w:p w:rsidR="00D51BB9" w:rsidRDefault="00D51BB9" w:rsidP="00A006F5">
            <w:pPr>
              <w:jc w:val="center"/>
              <w:rPr>
                <w:rFonts w:ascii="Calibri" w:hAnsi="Calibri"/>
                <w:color w:val="000000"/>
                <w:sz w:val="20"/>
                <w:szCs w:val="20"/>
              </w:rPr>
            </w:pPr>
            <w:r>
              <w:rPr>
                <w:rFonts w:ascii="Calibri" w:hAnsi="Calibri"/>
                <w:color w:val="000000"/>
                <w:sz w:val="20"/>
                <w:szCs w:val="20"/>
              </w:rPr>
              <w:t>1.0</w:t>
            </w:r>
          </w:p>
        </w:tc>
        <w:tc>
          <w:tcPr>
            <w:tcW w:w="1134" w:type="dxa"/>
            <w:vAlign w:val="center"/>
          </w:tcPr>
          <w:p w:rsidR="00D51BB9" w:rsidRDefault="00D51BB9" w:rsidP="00A006F5">
            <w:pPr>
              <w:jc w:val="center"/>
              <w:rPr>
                <w:rFonts w:ascii="Calibri" w:hAnsi="Calibri"/>
                <w:color w:val="000000"/>
                <w:sz w:val="20"/>
                <w:szCs w:val="20"/>
              </w:rPr>
            </w:pPr>
            <w:r>
              <w:rPr>
                <w:rFonts w:ascii="Calibri" w:hAnsi="Calibri"/>
                <w:color w:val="000000"/>
                <w:sz w:val="20"/>
                <w:szCs w:val="20"/>
              </w:rPr>
              <w:t>32.2</w:t>
            </w:r>
          </w:p>
        </w:tc>
        <w:tc>
          <w:tcPr>
            <w:tcW w:w="236" w:type="dxa"/>
          </w:tcPr>
          <w:p w:rsidR="00D51BB9" w:rsidRDefault="00D51BB9" w:rsidP="00A006F5">
            <w:pPr>
              <w:jc w:val="center"/>
              <w:rPr>
                <w:rFonts w:ascii="Calibri" w:hAnsi="Calibri"/>
                <w:color w:val="000000"/>
                <w:sz w:val="20"/>
                <w:szCs w:val="20"/>
              </w:rPr>
            </w:pPr>
          </w:p>
        </w:tc>
        <w:tc>
          <w:tcPr>
            <w:tcW w:w="1134" w:type="dxa"/>
            <w:vAlign w:val="center"/>
          </w:tcPr>
          <w:p w:rsidR="00D51BB9" w:rsidRDefault="00D51BB9" w:rsidP="00A006F5">
            <w:pPr>
              <w:jc w:val="center"/>
              <w:rPr>
                <w:rFonts w:ascii="Calibri" w:hAnsi="Calibri"/>
                <w:color w:val="000000"/>
                <w:sz w:val="20"/>
                <w:szCs w:val="20"/>
              </w:rPr>
            </w:pPr>
            <w:r>
              <w:rPr>
                <w:rFonts w:ascii="Calibri" w:hAnsi="Calibri"/>
                <w:color w:val="000000"/>
                <w:sz w:val="20"/>
                <w:szCs w:val="20"/>
              </w:rPr>
              <w:t>-2.4</w:t>
            </w:r>
          </w:p>
        </w:tc>
        <w:tc>
          <w:tcPr>
            <w:tcW w:w="1134" w:type="dxa"/>
            <w:vAlign w:val="center"/>
          </w:tcPr>
          <w:p w:rsidR="00D51BB9" w:rsidRDefault="00D51BB9" w:rsidP="00A006F5">
            <w:pPr>
              <w:jc w:val="center"/>
              <w:rPr>
                <w:rFonts w:ascii="Calibri" w:hAnsi="Calibri"/>
                <w:color w:val="000000"/>
                <w:sz w:val="20"/>
                <w:szCs w:val="20"/>
              </w:rPr>
            </w:pPr>
            <w:r>
              <w:rPr>
                <w:rFonts w:ascii="Calibri" w:hAnsi="Calibri"/>
                <w:color w:val="000000"/>
                <w:sz w:val="20"/>
                <w:szCs w:val="20"/>
              </w:rPr>
              <w:t>59.5</w:t>
            </w:r>
          </w:p>
        </w:tc>
        <w:tc>
          <w:tcPr>
            <w:tcW w:w="236" w:type="dxa"/>
          </w:tcPr>
          <w:p w:rsidR="00D51BB9" w:rsidRDefault="00D51BB9" w:rsidP="00A006F5">
            <w:pPr>
              <w:jc w:val="center"/>
              <w:rPr>
                <w:rFonts w:ascii="Calibri" w:hAnsi="Calibri"/>
                <w:color w:val="000000"/>
                <w:sz w:val="20"/>
                <w:szCs w:val="20"/>
              </w:rPr>
            </w:pPr>
          </w:p>
        </w:tc>
        <w:tc>
          <w:tcPr>
            <w:tcW w:w="1134" w:type="dxa"/>
            <w:vAlign w:val="center"/>
          </w:tcPr>
          <w:p w:rsidR="00D51BB9" w:rsidRDefault="00D51BB9" w:rsidP="00A006F5">
            <w:pPr>
              <w:jc w:val="center"/>
              <w:rPr>
                <w:rFonts w:ascii="Calibri" w:hAnsi="Calibri"/>
                <w:color w:val="000000"/>
                <w:sz w:val="20"/>
                <w:szCs w:val="20"/>
              </w:rPr>
            </w:pPr>
            <w:r>
              <w:rPr>
                <w:rFonts w:ascii="Calibri" w:hAnsi="Calibri"/>
                <w:color w:val="000000"/>
                <w:sz w:val="20"/>
                <w:szCs w:val="20"/>
              </w:rPr>
              <w:t>2.8</w:t>
            </w:r>
          </w:p>
        </w:tc>
        <w:tc>
          <w:tcPr>
            <w:tcW w:w="1134" w:type="dxa"/>
            <w:vAlign w:val="center"/>
          </w:tcPr>
          <w:p w:rsidR="00D51BB9" w:rsidRDefault="00D51BB9" w:rsidP="00A006F5">
            <w:pPr>
              <w:jc w:val="center"/>
              <w:rPr>
                <w:rFonts w:ascii="Calibri" w:hAnsi="Calibri"/>
                <w:color w:val="000000"/>
                <w:sz w:val="20"/>
                <w:szCs w:val="20"/>
              </w:rPr>
            </w:pPr>
            <w:r>
              <w:rPr>
                <w:rFonts w:ascii="Calibri" w:hAnsi="Calibri"/>
                <w:color w:val="000000"/>
                <w:sz w:val="20"/>
                <w:szCs w:val="20"/>
              </w:rPr>
              <w:t>51.5</w:t>
            </w:r>
          </w:p>
        </w:tc>
      </w:tr>
      <w:tr w:rsidR="00D51BB9" w:rsidRPr="00724F7E" w:rsidTr="00D51BB9">
        <w:trPr>
          <w:trHeight w:val="254"/>
          <w:jc w:val="center"/>
        </w:trPr>
        <w:tc>
          <w:tcPr>
            <w:tcW w:w="1245" w:type="dxa"/>
            <w:vAlign w:val="bottom"/>
          </w:tcPr>
          <w:p w:rsidR="00D51BB9" w:rsidRPr="003152F4" w:rsidRDefault="00D51BB9" w:rsidP="00A006F5">
            <w:pPr>
              <w:rPr>
                <w:sz w:val="20"/>
                <w:szCs w:val="20"/>
              </w:rPr>
            </w:pPr>
            <w:r w:rsidRPr="003152F4">
              <w:rPr>
                <w:sz w:val="20"/>
                <w:szCs w:val="20"/>
              </w:rPr>
              <w:t>Spain</w:t>
            </w:r>
          </w:p>
        </w:tc>
        <w:tc>
          <w:tcPr>
            <w:tcW w:w="236" w:type="dxa"/>
            <w:vAlign w:val="bottom"/>
          </w:tcPr>
          <w:p w:rsidR="00D51BB9" w:rsidRDefault="00D51BB9" w:rsidP="00A006F5">
            <w:pPr>
              <w:rPr>
                <w:rFonts w:ascii="Calibri" w:hAnsi="Calibri"/>
                <w:color w:val="000000"/>
              </w:rPr>
            </w:pPr>
          </w:p>
        </w:tc>
        <w:tc>
          <w:tcPr>
            <w:tcW w:w="1134" w:type="dxa"/>
            <w:vAlign w:val="center"/>
          </w:tcPr>
          <w:p w:rsidR="00D51BB9" w:rsidRDefault="00D51BB9" w:rsidP="00A006F5">
            <w:pPr>
              <w:jc w:val="center"/>
              <w:rPr>
                <w:rFonts w:ascii="Calibri" w:hAnsi="Calibri"/>
                <w:color w:val="000000"/>
                <w:sz w:val="20"/>
                <w:szCs w:val="20"/>
              </w:rPr>
            </w:pPr>
            <w:r>
              <w:rPr>
                <w:rFonts w:ascii="Calibri" w:hAnsi="Calibri"/>
                <w:color w:val="000000"/>
                <w:sz w:val="20"/>
                <w:szCs w:val="20"/>
              </w:rPr>
              <w:t>-0.4</w:t>
            </w:r>
          </w:p>
        </w:tc>
        <w:tc>
          <w:tcPr>
            <w:tcW w:w="1134" w:type="dxa"/>
            <w:vAlign w:val="center"/>
          </w:tcPr>
          <w:p w:rsidR="00D51BB9" w:rsidRDefault="00D51BB9" w:rsidP="00A006F5">
            <w:pPr>
              <w:jc w:val="center"/>
              <w:rPr>
                <w:rFonts w:ascii="Calibri" w:hAnsi="Calibri"/>
                <w:color w:val="000000"/>
                <w:sz w:val="20"/>
                <w:szCs w:val="20"/>
              </w:rPr>
            </w:pPr>
            <w:r>
              <w:rPr>
                <w:rFonts w:ascii="Calibri" w:hAnsi="Calibri"/>
                <w:color w:val="000000"/>
                <w:sz w:val="20"/>
                <w:szCs w:val="20"/>
              </w:rPr>
              <w:t>24.4</w:t>
            </w:r>
          </w:p>
        </w:tc>
        <w:tc>
          <w:tcPr>
            <w:tcW w:w="236" w:type="dxa"/>
          </w:tcPr>
          <w:p w:rsidR="00D51BB9" w:rsidRDefault="00D51BB9" w:rsidP="00A006F5">
            <w:pPr>
              <w:jc w:val="center"/>
              <w:rPr>
                <w:rFonts w:ascii="Calibri" w:hAnsi="Calibri"/>
                <w:color w:val="000000"/>
                <w:sz w:val="20"/>
                <w:szCs w:val="20"/>
              </w:rPr>
            </w:pPr>
          </w:p>
        </w:tc>
        <w:tc>
          <w:tcPr>
            <w:tcW w:w="1134" w:type="dxa"/>
            <w:vAlign w:val="center"/>
          </w:tcPr>
          <w:p w:rsidR="00D51BB9" w:rsidRDefault="00D51BB9" w:rsidP="00A006F5">
            <w:pPr>
              <w:jc w:val="center"/>
              <w:rPr>
                <w:rFonts w:ascii="Calibri" w:hAnsi="Calibri"/>
                <w:color w:val="000000"/>
                <w:sz w:val="20"/>
                <w:szCs w:val="20"/>
              </w:rPr>
            </w:pPr>
            <w:r>
              <w:rPr>
                <w:rFonts w:ascii="Calibri" w:hAnsi="Calibri"/>
                <w:color w:val="000000"/>
                <w:sz w:val="20"/>
                <w:szCs w:val="20"/>
              </w:rPr>
              <w:t>0.8</w:t>
            </w:r>
          </w:p>
        </w:tc>
        <w:tc>
          <w:tcPr>
            <w:tcW w:w="1134" w:type="dxa"/>
            <w:vAlign w:val="center"/>
          </w:tcPr>
          <w:p w:rsidR="00D51BB9" w:rsidRDefault="00D51BB9" w:rsidP="00A006F5">
            <w:pPr>
              <w:jc w:val="center"/>
              <w:rPr>
                <w:rFonts w:ascii="Calibri" w:hAnsi="Calibri"/>
                <w:color w:val="000000"/>
                <w:sz w:val="20"/>
                <w:szCs w:val="20"/>
              </w:rPr>
            </w:pPr>
            <w:r>
              <w:rPr>
                <w:rFonts w:ascii="Calibri" w:hAnsi="Calibri"/>
                <w:color w:val="000000"/>
                <w:sz w:val="20"/>
                <w:szCs w:val="20"/>
              </w:rPr>
              <w:t>40.2</w:t>
            </w:r>
          </w:p>
        </w:tc>
        <w:tc>
          <w:tcPr>
            <w:tcW w:w="236" w:type="dxa"/>
          </w:tcPr>
          <w:p w:rsidR="00D51BB9" w:rsidRDefault="00D51BB9" w:rsidP="00A006F5">
            <w:pPr>
              <w:jc w:val="center"/>
              <w:rPr>
                <w:rFonts w:ascii="Calibri" w:hAnsi="Calibri"/>
                <w:color w:val="000000"/>
                <w:sz w:val="20"/>
                <w:szCs w:val="20"/>
              </w:rPr>
            </w:pPr>
          </w:p>
        </w:tc>
        <w:tc>
          <w:tcPr>
            <w:tcW w:w="1134" w:type="dxa"/>
            <w:vAlign w:val="center"/>
          </w:tcPr>
          <w:p w:rsidR="00D51BB9" w:rsidRDefault="00D51BB9" w:rsidP="00A006F5">
            <w:pPr>
              <w:jc w:val="center"/>
              <w:rPr>
                <w:rFonts w:ascii="Calibri" w:hAnsi="Calibri"/>
                <w:color w:val="000000"/>
                <w:sz w:val="20"/>
                <w:szCs w:val="20"/>
              </w:rPr>
            </w:pPr>
            <w:r>
              <w:rPr>
                <w:rFonts w:ascii="Calibri" w:hAnsi="Calibri"/>
                <w:color w:val="000000"/>
                <w:sz w:val="20"/>
                <w:szCs w:val="20"/>
              </w:rPr>
              <w:t>-0.9</w:t>
            </w:r>
          </w:p>
        </w:tc>
        <w:tc>
          <w:tcPr>
            <w:tcW w:w="1134" w:type="dxa"/>
            <w:vAlign w:val="center"/>
          </w:tcPr>
          <w:p w:rsidR="00D51BB9" w:rsidRDefault="00D51BB9" w:rsidP="00A006F5">
            <w:pPr>
              <w:jc w:val="center"/>
              <w:rPr>
                <w:rFonts w:ascii="Calibri" w:hAnsi="Calibri"/>
                <w:color w:val="000000"/>
                <w:sz w:val="20"/>
                <w:szCs w:val="20"/>
              </w:rPr>
            </w:pPr>
            <w:r>
              <w:rPr>
                <w:rFonts w:ascii="Calibri" w:hAnsi="Calibri"/>
                <w:color w:val="000000"/>
                <w:sz w:val="20"/>
                <w:szCs w:val="20"/>
              </w:rPr>
              <w:t>64.5</w:t>
            </w:r>
          </w:p>
        </w:tc>
        <w:tc>
          <w:tcPr>
            <w:tcW w:w="236" w:type="dxa"/>
          </w:tcPr>
          <w:p w:rsidR="00D51BB9" w:rsidRDefault="00D51BB9" w:rsidP="00A006F5">
            <w:pPr>
              <w:jc w:val="center"/>
              <w:rPr>
                <w:rFonts w:ascii="Calibri" w:hAnsi="Calibri"/>
                <w:color w:val="000000"/>
                <w:sz w:val="20"/>
                <w:szCs w:val="20"/>
              </w:rPr>
            </w:pPr>
          </w:p>
        </w:tc>
        <w:tc>
          <w:tcPr>
            <w:tcW w:w="1134" w:type="dxa"/>
            <w:vAlign w:val="center"/>
          </w:tcPr>
          <w:p w:rsidR="00D51BB9" w:rsidRDefault="00D51BB9" w:rsidP="00A006F5">
            <w:pPr>
              <w:jc w:val="center"/>
              <w:rPr>
                <w:rFonts w:ascii="Calibri" w:hAnsi="Calibri"/>
                <w:color w:val="000000"/>
                <w:sz w:val="20"/>
                <w:szCs w:val="20"/>
              </w:rPr>
            </w:pPr>
            <w:r>
              <w:rPr>
                <w:rFonts w:ascii="Calibri" w:hAnsi="Calibri"/>
                <w:color w:val="000000"/>
                <w:sz w:val="20"/>
                <w:szCs w:val="20"/>
              </w:rPr>
              <w:t>1.6</w:t>
            </w:r>
          </w:p>
        </w:tc>
        <w:tc>
          <w:tcPr>
            <w:tcW w:w="1134" w:type="dxa"/>
            <w:vAlign w:val="center"/>
          </w:tcPr>
          <w:p w:rsidR="00D51BB9" w:rsidRDefault="00D51BB9" w:rsidP="00A006F5">
            <w:pPr>
              <w:jc w:val="center"/>
              <w:rPr>
                <w:rFonts w:ascii="Calibri" w:hAnsi="Calibri"/>
                <w:color w:val="000000"/>
                <w:sz w:val="20"/>
                <w:szCs w:val="20"/>
              </w:rPr>
            </w:pPr>
            <w:r>
              <w:rPr>
                <w:rFonts w:ascii="Calibri" w:hAnsi="Calibri"/>
                <w:color w:val="000000"/>
                <w:sz w:val="20"/>
                <w:szCs w:val="20"/>
              </w:rPr>
              <w:t>65.1</w:t>
            </w:r>
          </w:p>
        </w:tc>
      </w:tr>
      <w:tr w:rsidR="00D51BB9" w:rsidRPr="00724F7E" w:rsidTr="00D51BB9">
        <w:trPr>
          <w:trHeight w:val="254"/>
          <w:jc w:val="center"/>
        </w:trPr>
        <w:tc>
          <w:tcPr>
            <w:tcW w:w="1245" w:type="dxa"/>
            <w:vAlign w:val="bottom"/>
          </w:tcPr>
          <w:p w:rsidR="00D51BB9" w:rsidRPr="003152F4" w:rsidRDefault="00D51BB9" w:rsidP="00A006F5">
            <w:pPr>
              <w:rPr>
                <w:sz w:val="20"/>
                <w:szCs w:val="20"/>
              </w:rPr>
            </w:pPr>
            <w:r w:rsidRPr="003152F4">
              <w:rPr>
                <w:sz w:val="20"/>
                <w:szCs w:val="20"/>
              </w:rPr>
              <w:t>Portugal</w:t>
            </w:r>
          </w:p>
        </w:tc>
        <w:tc>
          <w:tcPr>
            <w:tcW w:w="236" w:type="dxa"/>
            <w:vAlign w:val="bottom"/>
          </w:tcPr>
          <w:p w:rsidR="00D51BB9" w:rsidRDefault="00D51BB9" w:rsidP="00A006F5">
            <w:pPr>
              <w:rPr>
                <w:rFonts w:ascii="Calibri" w:hAnsi="Calibri"/>
                <w:color w:val="000000"/>
              </w:rPr>
            </w:pPr>
          </w:p>
        </w:tc>
        <w:tc>
          <w:tcPr>
            <w:tcW w:w="1134" w:type="dxa"/>
            <w:vAlign w:val="center"/>
          </w:tcPr>
          <w:p w:rsidR="00D51BB9" w:rsidRDefault="00D51BB9" w:rsidP="00A006F5">
            <w:pPr>
              <w:jc w:val="center"/>
              <w:rPr>
                <w:rFonts w:ascii="Calibri" w:hAnsi="Calibri"/>
                <w:color w:val="000000"/>
                <w:sz w:val="20"/>
                <w:szCs w:val="20"/>
              </w:rPr>
            </w:pPr>
            <w:r>
              <w:rPr>
                <w:rFonts w:ascii="Calibri" w:hAnsi="Calibri"/>
                <w:color w:val="000000"/>
                <w:sz w:val="20"/>
                <w:szCs w:val="20"/>
              </w:rPr>
              <w:t>-0.6</w:t>
            </w:r>
          </w:p>
        </w:tc>
        <w:tc>
          <w:tcPr>
            <w:tcW w:w="1134" w:type="dxa"/>
            <w:vAlign w:val="center"/>
          </w:tcPr>
          <w:p w:rsidR="00D51BB9" w:rsidRDefault="00D51BB9" w:rsidP="00A006F5">
            <w:pPr>
              <w:jc w:val="center"/>
              <w:rPr>
                <w:rFonts w:ascii="Calibri" w:hAnsi="Calibri"/>
                <w:color w:val="000000"/>
                <w:sz w:val="20"/>
                <w:szCs w:val="20"/>
              </w:rPr>
            </w:pPr>
            <w:r>
              <w:rPr>
                <w:rFonts w:ascii="Calibri" w:hAnsi="Calibri"/>
                <w:color w:val="000000"/>
                <w:sz w:val="20"/>
                <w:szCs w:val="20"/>
              </w:rPr>
              <w:t>21.3</w:t>
            </w:r>
          </w:p>
        </w:tc>
        <w:tc>
          <w:tcPr>
            <w:tcW w:w="236" w:type="dxa"/>
          </w:tcPr>
          <w:p w:rsidR="00D51BB9" w:rsidRDefault="00D51BB9" w:rsidP="00A006F5">
            <w:pPr>
              <w:jc w:val="center"/>
              <w:rPr>
                <w:rFonts w:ascii="Calibri" w:hAnsi="Calibri"/>
                <w:color w:val="000000"/>
                <w:sz w:val="20"/>
                <w:szCs w:val="20"/>
              </w:rPr>
            </w:pPr>
          </w:p>
        </w:tc>
        <w:tc>
          <w:tcPr>
            <w:tcW w:w="1134" w:type="dxa"/>
            <w:vAlign w:val="center"/>
          </w:tcPr>
          <w:p w:rsidR="00D51BB9" w:rsidRDefault="00D51BB9" w:rsidP="00A006F5">
            <w:pPr>
              <w:jc w:val="center"/>
              <w:rPr>
                <w:rFonts w:ascii="Calibri" w:hAnsi="Calibri"/>
                <w:color w:val="000000"/>
                <w:sz w:val="20"/>
                <w:szCs w:val="20"/>
              </w:rPr>
            </w:pPr>
            <w:r>
              <w:rPr>
                <w:rFonts w:ascii="Calibri" w:hAnsi="Calibri"/>
                <w:color w:val="000000"/>
                <w:sz w:val="20"/>
                <w:szCs w:val="20"/>
              </w:rPr>
              <w:t>1.0</w:t>
            </w:r>
          </w:p>
        </w:tc>
        <w:tc>
          <w:tcPr>
            <w:tcW w:w="1134" w:type="dxa"/>
            <w:vAlign w:val="center"/>
          </w:tcPr>
          <w:p w:rsidR="00D51BB9" w:rsidRDefault="00D51BB9" w:rsidP="00A006F5">
            <w:pPr>
              <w:jc w:val="center"/>
              <w:rPr>
                <w:rFonts w:ascii="Calibri" w:hAnsi="Calibri"/>
                <w:color w:val="000000"/>
                <w:sz w:val="20"/>
                <w:szCs w:val="20"/>
              </w:rPr>
            </w:pPr>
            <w:r>
              <w:rPr>
                <w:rFonts w:ascii="Calibri" w:hAnsi="Calibri"/>
                <w:color w:val="000000"/>
                <w:sz w:val="20"/>
                <w:szCs w:val="20"/>
              </w:rPr>
              <w:t>38.4</w:t>
            </w:r>
          </w:p>
        </w:tc>
        <w:tc>
          <w:tcPr>
            <w:tcW w:w="236" w:type="dxa"/>
          </w:tcPr>
          <w:p w:rsidR="00D51BB9" w:rsidRDefault="00D51BB9" w:rsidP="00A006F5">
            <w:pPr>
              <w:jc w:val="center"/>
              <w:rPr>
                <w:rFonts w:ascii="Calibri" w:hAnsi="Calibri"/>
                <w:color w:val="000000"/>
                <w:sz w:val="20"/>
                <w:szCs w:val="20"/>
              </w:rPr>
            </w:pPr>
          </w:p>
        </w:tc>
        <w:tc>
          <w:tcPr>
            <w:tcW w:w="1134" w:type="dxa"/>
            <w:vAlign w:val="center"/>
          </w:tcPr>
          <w:p w:rsidR="00D51BB9" w:rsidRDefault="00D51BB9" w:rsidP="00A006F5">
            <w:pPr>
              <w:jc w:val="center"/>
              <w:rPr>
                <w:rFonts w:ascii="Calibri" w:hAnsi="Calibri"/>
                <w:color w:val="000000"/>
                <w:sz w:val="20"/>
                <w:szCs w:val="20"/>
              </w:rPr>
            </w:pPr>
            <w:r>
              <w:rPr>
                <w:rFonts w:ascii="Calibri" w:hAnsi="Calibri"/>
                <w:color w:val="000000"/>
                <w:sz w:val="20"/>
                <w:szCs w:val="20"/>
              </w:rPr>
              <w:t>-7.6</w:t>
            </w:r>
          </w:p>
        </w:tc>
        <w:tc>
          <w:tcPr>
            <w:tcW w:w="1134" w:type="dxa"/>
            <w:vAlign w:val="center"/>
          </w:tcPr>
          <w:p w:rsidR="00D51BB9" w:rsidRDefault="00D51BB9" w:rsidP="00A006F5">
            <w:pPr>
              <w:jc w:val="center"/>
              <w:rPr>
                <w:rFonts w:ascii="Calibri" w:hAnsi="Calibri"/>
                <w:color w:val="000000"/>
                <w:sz w:val="20"/>
                <w:szCs w:val="20"/>
              </w:rPr>
            </w:pPr>
            <w:r>
              <w:rPr>
                <w:rFonts w:ascii="Calibri" w:hAnsi="Calibri"/>
                <w:color w:val="000000"/>
                <w:sz w:val="20"/>
                <w:szCs w:val="20"/>
              </w:rPr>
              <w:t>138.7</w:t>
            </w:r>
          </w:p>
        </w:tc>
        <w:tc>
          <w:tcPr>
            <w:tcW w:w="236" w:type="dxa"/>
          </w:tcPr>
          <w:p w:rsidR="00D51BB9" w:rsidRDefault="00D51BB9" w:rsidP="00A006F5">
            <w:pPr>
              <w:jc w:val="center"/>
              <w:rPr>
                <w:rFonts w:ascii="Calibri" w:hAnsi="Calibri"/>
                <w:color w:val="000000"/>
                <w:sz w:val="20"/>
                <w:szCs w:val="20"/>
              </w:rPr>
            </w:pPr>
          </w:p>
        </w:tc>
        <w:tc>
          <w:tcPr>
            <w:tcW w:w="1134" w:type="dxa"/>
            <w:vAlign w:val="center"/>
          </w:tcPr>
          <w:p w:rsidR="00D51BB9" w:rsidRDefault="00D51BB9" w:rsidP="00A006F5">
            <w:pPr>
              <w:jc w:val="center"/>
              <w:rPr>
                <w:rFonts w:ascii="Calibri" w:hAnsi="Calibri"/>
                <w:color w:val="000000"/>
                <w:sz w:val="20"/>
                <w:szCs w:val="20"/>
              </w:rPr>
            </w:pPr>
            <w:r>
              <w:rPr>
                <w:rFonts w:ascii="Calibri" w:hAnsi="Calibri"/>
                <w:color w:val="000000"/>
                <w:sz w:val="20"/>
                <w:szCs w:val="20"/>
              </w:rPr>
              <w:t>10.0</w:t>
            </w:r>
          </w:p>
        </w:tc>
        <w:tc>
          <w:tcPr>
            <w:tcW w:w="1134" w:type="dxa"/>
            <w:vAlign w:val="center"/>
          </w:tcPr>
          <w:p w:rsidR="00D51BB9" w:rsidRDefault="00D51BB9" w:rsidP="00A006F5">
            <w:pPr>
              <w:jc w:val="center"/>
              <w:rPr>
                <w:rFonts w:ascii="Calibri" w:hAnsi="Calibri"/>
                <w:color w:val="000000"/>
                <w:sz w:val="20"/>
                <w:szCs w:val="20"/>
              </w:rPr>
            </w:pPr>
            <w:r>
              <w:rPr>
                <w:rFonts w:ascii="Calibri" w:hAnsi="Calibri"/>
                <w:color w:val="000000"/>
                <w:sz w:val="20"/>
                <w:szCs w:val="20"/>
              </w:rPr>
              <w:t>173.2</w:t>
            </w:r>
          </w:p>
        </w:tc>
      </w:tr>
      <w:tr w:rsidR="00D51BB9" w:rsidRPr="00724F7E" w:rsidTr="00D51BB9">
        <w:trPr>
          <w:trHeight w:val="254"/>
          <w:jc w:val="center"/>
        </w:trPr>
        <w:tc>
          <w:tcPr>
            <w:tcW w:w="1245" w:type="dxa"/>
            <w:vAlign w:val="bottom"/>
          </w:tcPr>
          <w:p w:rsidR="00D51BB9" w:rsidRPr="003152F4" w:rsidRDefault="00D51BB9" w:rsidP="00A006F5">
            <w:pPr>
              <w:rPr>
                <w:sz w:val="20"/>
                <w:szCs w:val="20"/>
              </w:rPr>
            </w:pPr>
            <w:r w:rsidRPr="003152F4">
              <w:rPr>
                <w:sz w:val="20"/>
                <w:szCs w:val="20"/>
              </w:rPr>
              <w:t>Ireland</w:t>
            </w:r>
          </w:p>
        </w:tc>
        <w:tc>
          <w:tcPr>
            <w:tcW w:w="236" w:type="dxa"/>
            <w:vAlign w:val="bottom"/>
          </w:tcPr>
          <w:p w:rsidR="00D51BB9" w:rsidRDefault="00D51BB9" w:rsidP="00A006F5">
            <w:pPr>
              <w:rPr>
                <w:rFonts w:ascii="Calibri" w:hAnsi="Calibri"/>
                <w:color w:val="000000"/>
              </w:rPr>
            </w:pPr>
          </w:p>
        </w:tc>
        <w:tc>
          <w:tcPr>
            <w:tcW w:w="1134" w:type="dxa"/>
            <w:vAlign w:val="center"/>
          </w:tcPr>
          <w:p w:rsidR="00D51BB9" w:rsidRDefault="00D51BB9" w:rsidP="00A006F5">
            <w:pPr>
              <w:jc w:val="center"/>
              <w:rPr>
                <w:rFonts w:ascii="Calibri" w:hAnsi="Calibri"/>
                <w:color w:val="000000"/>
                <w:sz w:val="20"/>
                <w:szCs w:val="20"/>
              </w:rPr>
            </w:pPr>
            <w:r>
              <w:rPr>
                <w:rFonts w:ascii="Calibri" w:hAnsi="Calibri"/>
                <w:color w:val="000000"/>
                <w:sz w:val="20"/>
                <w:szCs w:val="20"/>
              </w:rPr>
              <w:t>-0.1</w:t>
            </w:r>
          </w:p>
        </w:tc>
        <w:tc>
          <w:tcPr>
            <w:tcW w:w="1134" w:type="dxa"/>
            <w:vAlign w:val="center"/>
          </w:tcPr>
          <w:p w:rsidR="00D51BB9" w:rsidRDefault="00D51BB9" w:rsidP="00A006F5">
            <w:pPr>
              <w:jc w:val="center"/>
              <w:rPr>
                <w:rFonts w:ascii="Calibri" w:hAnsi="Calibri"/>
                <w:color w:val="000000"/>
                <w:sz w:val="20"/>
                <w:szCs w:val="20"/>
              </w:rPr>
            </w:pPr>
            <w:r>
              <w:rPr>
                <w:rFonts w:ascii="Calibri" w:hAnsi="Calibri"/>
                <w:color w:val="000000"/>
                <w:sz w:val="20"/>
                <w:szCs w:val="20"/>
              </w:rPr>
              <w:t>24.1</w:t>
            </w:r>
          </w:p>
        </w:tc>
        <w:tc>
          <w:tcPr>
            <w:tcW w:w="236" w:type="dxa"/>
          </w:tcPr>
          <w:p w:rsidR="00D51BB9" w:rsidRDefault="00D51BB9" w:rsidP="00A006F5">
            <w:pPr>
              <w:jc w:val="center"/>
              <w:rPr>
                <w:rFonts w:ascii="Calibri" w:hAnsi="Calibri"/>
                <w:color w:val="000000"/>
                <w:sz w:val="20"/>
                <w:szCs w:val="20"/>
              </w:rPr>
            </w:pPr>
          </w:p>
        </w:tc>
        <w:tc>
          <w:tcPr>
            <w:tcW w:w="1134" w:type="dxa"/>
            <w:vAlign w:val="center"/>
          </w:tcPr>
          <w:p w:rsidR="00D51BB9" w:rsidRDefault="00D51BB9" w:rsidP="00A006F5">
            <w:pPr>
              <w:jc w:val="center"/>
              <w:rPr>
                <w:rFonts w:ascii="Calibri" w:hAnsi="Calibri"/>
                <w:color w:val="000000"/>
                <w:sz w:val="20"/>
                <w:szCs w:val="20"/>
              </w:rPr>
            </w:pPr>
            <w:r>
              <w:rPr>
                <w:rFonts w:ascii="Calibri" w:hAnsi="Calibri"/>
                <w:color w:val="000000"/>
                <w:sz w:val="20"/>
                <w:szCs w:val="20"/>
              </w:rPr>
              <w:t>0.5</w:t>
            </w:r>
          </w:p>
        </w:tc>
        <w:tc>
          <w:tcPr>
            <w:tcW w:w="1134" w:type="dxa"/>
            <w:vAlign w:val="center"/>
          </w:tcPr>
          <w:p w:rsidR="00D51BB9" w:rsidRDefault="00D51BB9" w:rsidP="00A006F5">
            <w:pPr>
              <w:jc w:val="center"/>
              <w:rPr>
                <w:rFonts w:ascii="Calibri" w:hAnsi="Calibri"/>
                <w:color w:val="000000"/>
                <w:sz w:val="20"/>
                <w:szCs w:val="20"/>
              </w:rPr>
            </w:pPr>
            <w:r>
              <w:rPr>
                <w:rFonts w:ascii="Calibri" w:hAnsi="Calibri"/>
                <w:color w:val="000000"/>
                <w:sz w:val="20"/>
                <w:szCs w:val="20"/>
              </w:rPr>
              <w:t>40.7</w:t>
            </w:r>
          </w:p>
        </w:tc>
        <w:tc>
          <w:tcPr>
            <w:tcW w:w="236" w:type="dxa"/>
          </w:tcPr>
          <w:p w:rsidR="00D51BB9" w:rsidRDefault="00D51BB9" w:rsidP="00A006F5">
            <w:pPr>
              <w:jc w:val="center"/>
              <w:rPr>
                <w:rFonts w:ascii="Calibri" w:hAnsi="Calibri"/>
                <w:color w:val="000000"/>
                <w:sz w:val="20"/>
                <w:szCs w:val="20"/>
              </w:rPr>
            </w:pPr>
          </w:p>
        </w:tc>
        <w:tc>
          <w:tcPr>
            <w:tcW w:w="1134" w:type="dxa"/>
            <w:vAlign w:val="center"/>
          </w:tcPr>
          <w:p w:rsidR="00D51BB9" w:rsidRDefault="00D51BB9" w:rsidP="00A006F5">
            <w:pPr>
              <w:jc w:val="center"/>
              <w:rPr>
                <w:rFonts w:ascii="Calibri" w:hAnsi="Calibri"/>
                <w:color w:val="000000"/>
                <w:sz w:val="20"/>
                <w:szCs w:val="20"/>
              </w:rPr>
            </w:pPr>
            <w:r>
              <w:rPr>
                <w:rFonts w:ascii="Calibri" w:hAnsi="Calibri"/>
                <w:color w:val="000000"/>
                <w:sz w:val="20"/>
                <w:szCs w:val="20"/>
              </w:rPr>
              <w:t>-2.5</w:t>
            </w:r>
          </w:p>
        </w:tc>
        <w:tc>
          <w:tcPr>
            <w:tcW w:w="1134" w:type="dxa"/>
            <w:vAlign w:val="center"/>
          </w:tcPr>
          <w:p w:rsidR="00D51BB9" w:rsidRDefault="00D51BB9" w:rsidP="00A006F5">
            <w:pPr>
              <w:jc w:val="center"/>
              <w:rPr>
                <w:rFonts w:ascii="Calibri" w:hAnsi="Calibri"/>
                <w:color w:val="000000"/>
                <w:sz w:val="20"/>
                <w:szCs w:val="20"/>
              </w:rPr>
            </w:pPr>
            <w:r>
              <w:rPr>
                <w:rFonts w:ascii="Calibri" w:hAnsi="Calibri"/>
                <w:color w:val="000000"/>
                <w:sz w:val="20"/>
                <w:szCs w:val="20"/>
              </w:rPr>
              <w:t>111.9</w:t>
            </w:r>
          </w:p>
        </w:tc>
        <w:tc>
          <w:tcPr>
            <w:tcW w:w="236" w:type="dxa"/>
          </w:tcPr>
          <w:p w:rsidR="00D51BB9" w:rsidRDefault="00D51BB9" w:rsidP="00A006F5">
            <w:pPr>
              <w:jc w:val="center"/>
              <w:rPr>
                <w:rFonts w:ascii="Calibri" w:hAnsi="Calibri"/>
                <w:color w:val="000000"/>
                <w:sz w:val="20"/>
                <w:szCs w:val="20"/>
              </w:rPr>
            </w:pPr>
          </w:p>
        </w:tc>
        <w:tc>
          <w:tcPr>
            <w:tcW w:w="1134" w:type="dxa"/>
            <w:vAlign w:val="center"/>
          </w:tcPr>
          <w:p w:rsidR="00D51BB9" w:rsidRDefault="00D51BB9" w:rsidP="00A006F5">
            <w:pPr>
              <w:jc w:val="center"/>
              <w:rPr>
                <w:rFonts w:ascii="Calibri" w:hAnsi="Calibri"/>
                <w:color w:val="000000"/>
                <w:sz w:val="20"/>
                <w:szCs w:val="20"/>
              </w:rPr>
            </w:pPr>
            <w:r>
              <w:rPr>
                <w:rFonts w:ascii="Calibri" w:hAnsi="Calibri"/>
                <w:color w:val="000000"/>
                <w:sz w:val="20"/>
                <w:szCs w:val="20"/>
              </w:rPr>
              <w:t>4.5</w:t>
            </w:r>
          </w:p>
        </w:tc>
        <w:tc>
          <w:tcPr>
            <w:tcW w:w="1134" w:type="dxa"/>
            <w:vAlign w:val="center"/>
          </w:tcPr>
          <w:p w:rsidR="00D51BB9" w:rsidRDefault="00D51BB9" w:rsidP="00A006F5">
            <w:pPr>
              <w:jc w:val="center"/>
              <w:rPr>
                <w:rFonts w:ascii="Calibri" w:hAnsi="Calibri"/>
                <w:color w:val="000000"/>
                <w:sz w:val="20"/>
                <w:szCs w:val="20"/>
              </w:rPr>
            </w:pPr>
            <w:r>
              <w:rPr>
                <w:rFonts w:ascii="Calibri" w:hAnsi="Calibri"/>
                <w:color w:val="000000"/>
                <w:sz w:val="20"/>
                <w:szCs w:val="20"/>
              </w:rPr>
              <w:t>61.7</w:t>
            </w:r>
          </w:p>
        </w:tc>
      </w:tr>
      <w:tr w:rsidR="00D51BB9" w:rsidRPr="00724F7E" w:rsidTr="00D51BB9">
        <w:trPr>
          <w:trHeight w:val="254"/>
          <w:jc w:val="center"/>
        </w:trPr>
        <w:tc>
          <w:tcPr>
            <w:tcW w:w="1245" w:type="dxa"/>
            <w:tcBorders>
              <w:bottom w:val="single" w:sz="4" w:space="0" w:color="auto"/>
            </w:tcBorders>
            <w:vAlign w:val="bottom"/>
          </w:tcPr>
          <w:p w:rsidR="00D51BB9" w:rsidRPr="003152F4" w:rsidRDefault="00D51BB9" w:rsidP="00A006F5">
            <w:pPr>
              <w:rPr>
                <w:sz w:val="20"/>
                <w:szCs w:val="20"/>
              </w:rPr>
            </w:pPr>
            <w:r w:rsidRPr="003152F4">
              <w:rPr>
                <w:sz w:val="20"/>
                <w:szCs w:val="20"/>
              </w:rPr>
              <w:t>Greece</w:t>
            </w:r>
          </w:p>
        </w:tc>
        <w:tc>
          <w:tcPr>
            <w:tcW w:w="236" w:type="dxa"/>
            <w:tcBorders>
              <w:bottom w:val="single" w:sz="4" w:space="0" w:color="auto"/>
            </w:tcBorders>
            <w:vAlign w:val="bottom"/>
          </w:tcPr>
          <w:p w:rsidR="00D51BB9" w:rsidRDefault="00D51BB9" w:rsidP="00A006F5">
            <w:pPr>
              <w:rPr>
                <w:rFonts w:ascii="Calibri" w:hAnsi="Calibri"/>
                <w:color w:val="000000"/>
              </w:rPr>
            </w:pPr>
          </w:p>
        </w:tc>
        <w:tc>
          <w:tcPr>
            <w:tcW w:w="1134" w:type="dxa"/>
            <w:tcBorders>
              <w:bottom w:val="single" w:sz="4" w:space="0" w:color="auto"/>
            </w:tcBorders>
            <w:vAlign w:val="center"/>
          </w:tcPr>
          <w:p w:rsidR="00D51BB9" w:rsidRDefault="00D51BB9" w:rsidP="00A006F5">
            <w:pPr>
              <w:jc w:val="center"/>
              <w:rPr>
                <w:rFonts w:ascii="Calibri" w:hAnsi="Calibri"/>
                <w:color w:val="000000"/>
                <w:sz w:val="20"/>
                <w:szCs w:val="20"/>
              </w:rPr>
            </w:pPr>
            <w:r>
              <w:rPr>
                <w:rFonts w:ascii="Calibri" w:hAnsi="Calibri"/>
                <w:color w:val="000000"/>
                <w:sz w:val="20"/>
                <w:szCs w:val="20"/>
              </w:rPr>
              <w:t>-0.5</w:t>
            </w:r>
          </w:p>
        </w:tc>
        <w:tc>
          <w:tcPr>
            <w:tcW w:w="1134" w:type="dxa"/>
            <w:tcBorders>
              <w:bottom w:val="single" w:sz="4" w:space="0" w:color="auto"/>
            </w:tcBorders>
            <w:vAlign w:val="center"/>
          </w:tcPr>
          <w:p w:rsidR="00D51BB9" w:rsidRDefault="00D51BB9" w:rsidP="00A006F5">
            <w:pPr>
              <w:jc w:val="center"/>
              <w:rPr>
                <w:rFonts w:ascii="Calibri" w:hAnsi="Calibri"/>
                <w:color w:val="000000"/>
                <w:sz w:val="20"/>
                <w:szCs w:val="20"/>
              </w:rPr>
            </w:pPr>
            <w:r>
              <w:rPr>
                <w:rFonts w:ascii="Calibri" w:hAnsi="Calibri"/>
                <w:color w:val="000000"/>
                <w:sz w:val="20"/>
                <w:szCs w:val="20"/>
              </w:rPr>
              <w:t>22.3</w:t>
            </w:r>
          </w:p>
        </w:tc>
        <w:tc>
          <w:tcPr>
            <w:tcW w:w="236" w:type="dxa"/>
            <w:tcBorders>
              <w:bottom w:val="single" w:sz="4" w:space="0" w:color="auto"/>
            </w:tcBorders>
          </w:tcPr>
          <w:p w:rsidR="00D51BB9" w:rsidRDefault="00D51BB9" w:rsidP="00A006F5">
            <w:pPr>
              <w:jc w:val="center"/>
              <w:rPr>
                <w:rFonts w:ascii="Calibri" w:hAnsi="Calibri"/>
                <w:color w:val="000000"/>
                <w:sz w:val="20"/>
                <w:szCs w:val="20"/>
              </w:rPr>
            </w:pPr>
          </w:p>
        </w:tc>
        <w:tc>
          <w:tcPr>
            <w:tcW w:w="1134" w:type="dxa"/>
            <w:tcBorders>
              <w:bottom w:val="single" w:sz="4" w:space="0" w:color="auto"/>
            </w:tcBorders>
            <w:vAlign w:val="center"/>
          </w:tcPr>
          <w:p w:rsidR="00D51BB9" w:rsidRDefault="00D51BB9" w:rsidP="00A006F5">
            <w:pPr>
              <w:jc w:val="center"/>
              <w:rPr>
                <w:rFonts w:ascii="Calibri" w:hAnsi="Calibri"/>
                <w:color w:val="000000"/>
                <w:sz w:val="20"/>
                <w:szCs w:val="20"/>
              </w:rPr>
            </w:pPr>
            <w:r>
              <w:rPr>
                <w:rFonts w:ascii="Calibri" w:hAnsi="Calibri"/>
                <w:color w:val="000000"/>
                <w:sz w:val="20"/>
                <w:szCs w:val="20"/>
              </w:rPr>
              <w:t>-0.4</w:t>
            </w:r>
          </w:p>
        </w:tc>
        <w:tc>
          <w:tcPr>
            <w:tcW w:w="1134" w:type="dxa"/>
            <w:tcBorders>
              <w:bottom w:val="single" w:sz="4" w:space="0" w:color="auto"/>
            </w:tcBorders>
            <w:vAlign w:val="center"/>
          </w:tcPr>
          <w:p w:rsidR="00D51BB9" w:rsidRDefault="00D51BB9" w:rsidP="00A006F5">
            <w:pPr>
              <w:jc w:val="center"/>
              <w:rPr>
                <w:rFonts w:ascii="Calibri" w:hAnsi="Calibri"/>
                <w:color w:val="000000"/>
                <w:sz w:val="20"/>
                <w:szCs w:val="20"/>
              </w:rPr>
            </w:pPr>
            <w:r>
              <w:rPr>
                <w:rFonts w:ascii="Calibri" w:hAnsi="Calibri"/>
                <w:color w:val="000000"/>
                <w:sz w:val="20"/>
                <w:szCs w:val="20"/>
              </w:rPr>
              <w:t>48.7</w:t>
            </w:r>
          </w:p>
        </w:tc>
        <w:tc>
          <w:tcPr>
            <w:tcW w:w="236" w:type="dxa"/>
            <w:tcBorders>
              <w:bottom w:val="single" w:sz="4" w:space="0" w:color="auto"/>
            </w:tcBorders>
          </w:tcPr>
          <w:p w:rsidR="00D51BB9" w:rsidRDefault="00D51BB9" w:rsidP="00A006F5">
            <w:pPr>
              <w:jc w:val="center"/>
              <w:rPr>
                <w:rFonts w:ascii="Calibri" w:hAnsi="Calibri"/>
                <w:color w:val="000000"/>
                <w:sz w:val="20"/>
                <w:szCs w:val="20"/>
              </w:rPr>
            </w:pPr>
          </w:p>
        </w:tc>
        <w:tc>
          <w:tcPr>
            <w:tcW w:w="1134" w:type="dxa"/>
            <w:tcBorders>
              <w:bottom w:val="single" w:sz="4" w:space="0" w:color="auto"/>
            </w:tcBorders>
            <w:vAlign w:val="center"/>
          </w:tcPr>
          <w:p w:rsidR="00D51BB9" w:rsidRDefault="00D51BB9" w:rsidP="00A006F5">
            <w:pPr>
              <w:jc w:val="center"/>
              <w:rPr>
                <w:rFonts w:ascii="Calibri" w:hAnsi="Calibri"/>
                <w:color w:val="000000"/>
                <w:sz w:val="20"/>
                <w:szCs w:val="20"/>
              </w:rPr>
            </w:pPr>
            <w:r>
              <w:rPr>
                <w:rFonts w:ascii="Calibri" w:hAnsi="Calibri"/>
                <w:color w:val="000000"/>
                <w:sz w:val="20"/>
                <w:szCs w:val="20"/>
              </w:rPr>
              <w:t>-14.1</w:t>
            </w:r>
          </w:p>
        </w:tc>
        <w:tc>
          <w:tcPr>
            <w:tcW w:w="1134" w:type="dxa"/>
            <w:tcBorders>
              <w:bottom w:val="single" w:sz="4" w:space="0" w:color="auto"/>
            </w:tcBorders>
            <w:vAlign w:val="center"/>
          </w:tcPr>
          <w:p w:rsidR="00D51BB9" w:rsidRDefault="00D51BB9" w:rsidP="00A006F5">
            <w:pPr>
              <w:jc w:val="center"/>
              <w:rPr>
                <w:rFonts w:ascii="Calibri" w:hAnsi="Calibri"/>
                <w:color w:val="000000"/>
                <w:sz w:val="20"/>
                <w:szCs w:val="20"/>
              </w:rPr>
            </w:pPr>
            <w:r>
              <w:rPr>
                <w:rFonts w:ascii="Calibri" w:hAnsi="Calibri"/>
                <w:color w:val="000000"/>
                <w:sz w:val="20"/>
                <w:szCs w:val="20"/>
              </w:rPr>
              <w:t>145.4</w:t>
            </w:r>
          </w:p>
        </w:tc>
        <w:tc>
          <w:tcPr>
            <w:tcW w:w="236" w:type="dxa"/>
            <w:tcBorders>
              <w:bottom w:val="single" w:sz="4" w:space="0" w:color="auto"/>
            </w:tcBorders>
          </w:tcPr>
          <w:p w:rsidR="00D51BB9" w:rsidRDefault="00D51BB9" w:rsidP="00A006F5">
            <w:pPr>
              <w:jc w:val="center"/>
              <w:rPr>
                <w:rFonts w:ascii="Calibri" w:hAnsi="Calibri"/>
                <w:color w:val="000000"/>
                <w:sz w:val="20"/>
                <w:szCs w:val="20"/>
              </w:rPr>
            </w:pPr>
          </w:p>
        </w:tc>
        <w:tc>
          <w:tcPr>
            <w:tcW w:w="1134" w:type="dxa"/>
            <w:tcBorders>
              <w:bottom w:val="single" w:sz="4" w:space="0" w:color="auto"/>
            </w:tcBorders>
            <w:vAlign w:val="center"/>
          </w:tcPr>
          <w:p w:rsidR="00D51BB9" w:rsidRDefault="00D51BB9" w:rsidP="00A006F5">
            <w:pPr>
              <w:jc w:val="center"/>
              <w:rPr>
                <w:rFonts w:ascii="Calibri" w:hAnsi="Calibri"/>
                <w:color w:val="000000"/>
                <w:sz w:val="20"/>
                <w:szCs w:val="20"/>
              </w:rPr>
            </w:pPr>
            <w:r>
              <w:rPr>
                <w:rFonts w:ascii="Calibri" w:hAnsi="Calibri"/>
                <w:color w:val="000000"/>
                <w:sz w:val="20"/>
                <w:szCs w:val="20"/>
              </w:rPr>
              <w:t>NA</w:t>
            </w:r>
          </w:p>
        </w:tc>
        <w:tc>
          <w:tcPr>
            <w:tcW w:w="1134" w:type="dxa"/>
            <w:tcBorders>
              <w:bottom w:val="single" w:sz="4" w:space="0" w:color="auto"/>
            </w:tcBorders>
            <w:vAlign w:val="center"/>
          </w:tcPr>
          <w:p w:rsidR="00D51BB9" w:rsidRDefault="00D51BB9" w:rsidP="00A006F5">
            <w:pPr>
              <w:jc w:val="center"/>
              <w:rPr>
                <w:rFonts w:ascii="Calibri" w:hAnsi="Calibri"/>
                <w:color w:val="000000"/>
                <w:sz w:val="20"/>
                <w:szCs w:val="20"/>
              </w:rPr>
            </w:pPr>
            <w:r>
              <w:rPr>
                <w:rFonts w:ascii="Calibri" w:hAnsi="Calibri"/>
                <w:color w:val="000000"/>
                <w:sz w:val="20"/>
                <w:szCs w:val="20"/>
              </w:rPr>
              <w:t>NA</w:t>
            </w:r>
          </w:p>
        </w:tc>
      </w:tr>
      <w:tr w:rsidR="00D51BB9" w:rsidRPr="00724F7E" w:rsidTr="00D51BB9">
        <w:trPr>
          <w:trHeight w:val="397"/>
          <w:jc w:val="center"/>
        </w:trPr>
        <w:tc>
          <w:tcPr>
            <w:tcW w:w="11261" w:type="dxa"/>
            <w:gridSpan w:val="13"/>
            <w:tcBorders>
              <w:top w:val="single" w:sz="4" w:space="0" w:color="auto"/>
              <w:bottom w:val="single" w:sz="4" w:space="0" w:color="auto"/>
            </w:tcBorders>
            <w:vAlign w:val="center"/>
          </w:tcPr>
          <w:p w:rsidR="00D51BB9" w:rsidRPr="00724F7E" w:rsidRDefault="00D51BB9" w:rsidP="00D51BB9">
            <w:pPr>
              <w:rPr>
                <w:sz w:val="20"/>
                <w:szCs w:val="20"/>
              </w:rPr>
            </w:pPr>
            <w:r w:rsidRPr="002B0B5B">
              <w:rPr>
                <w:rFonts w:ascii="Calibri" w:hAnsi="Calibri" w:cs="TTdcr10"/>
              </w:rPr>
              <w:t>Panel B: Equity Index Returns</w:t>
            </w:r>
          </w:p>
        </w:tc>
      </w:tr>
      <w:tr w:rsidR="00D51BB9" w:rsidRPr="00724F7E" w:rsidTr="00D51BB9">
        <w:trPr>
          <w:trHeight w:val="254"/>
          <w:jc w:val="center"/>
        </w:trPr>
        <w:tc>
          <w:tcPr>
            <w:tcW w:w="1245" w:type="dxa"/>
            <w:tcBorders>
              <w:top w:val="single" w:sz="4" w:space="0" w:color="auto"/>
            </w:tcBorders>
            <w:vAlign w:val="center"/>
          </w:tcPr>
          <w:p w:rsidR="00D51BB9" w:rsidRPr="00724F7E" w:rsidRDefault="00D51BB9" w:rsidP="00A006F5">
            <w:pPr>
              <w:rPr>
                <w:sz w:val="20"/>
                <w:szCs w:val="20"/>
              </w:rPr>
            </w:pPr>
          </w:p>
        </w:tc>
        <w:tc>
          <w:tcPr>
            <w:tcW w:w="236" w:type="dxa"/>
            <w:tcBorders>
              <w:top w:val="single" w:sz="4" w:space="0" w:color="auto"/>
            </w:tcBorders>
            <w:vAlign w:val="center"/>
          </w:tcPr>
          <w:p w:rsidR="00D51BB9" w:rsidRPr="00724F7E" w:rsidRDefault="00D51BB9" w:rsidP="00A006F5">
            <w:pPr>
              <w:jc w:val="center"/>
              <w:rPr>
                <w:sz w:val="20"/>
                <w:szCs w:val="20"/>
              </w:rPr>
            </w:pPr>
          </w:p>
        </w:tc>
        <w:tc>
          <w:tcPr>
            <w:tcW w:w="2268" w:type="dxa"/>
            <w:gridSpan w:val="2"/>
            <w:tcBorders>
              <w:top w:val="single" w:sz="4" w:space="0" w:color="auto"/>
            </w:tcBorders>
            <w:vAlign w:val="center"/>
          </w:tcPr>
          <w:p w:rsidR="00D51BB9" w:rsidRPr="00724F7E" w:rsidRDefault="00D51BB9" w:rsidP="00A006F5">
            <w:pPr>
              <w:jc w:val="center"/>
              <w:rPr>
                <w:sz w:val="20"/>
                <w:szCs w:val="20"/>
              </w:rPr>
            </w:pPr>
            <w:r w:rsidRPr="00724F7E">
              <w:rPr>
                <w:sz w:val="20"/>
                <w:szCs w:val="20"/>
              </w:rPr>
              <w:t>Pre-crisis period</w:t>
            </w:r>
          </w:p>
        </w:tc>
        <w:tc>
          <w:tcPr>
            <w:tcW w:w="236" w:type="dxa"/>
            <w:tcBorders>
              <w:top w:val="single" w:sz="4" w:space="0" w:color="auto"/>
            </w:tcBorders>
            <w:vAlign w:val="center"/>
          </w:tcPr>
          <w:p w:rsidR="00D51BB9" w:rsidRPr="00724F7E" w:rsidRDefault="00D51BB9" w:rsidP="00A006F5">
            <w:pPr>
              <w:jc w:val="center"/>
              <w:rPr>
                <w:sz w:val="20"/>
                <w:szCs w:val="20"/>
              </w:rPr>
            </w:pPr>
          </w:p>
        </w:tc>
        <w:tc>
          <w:tcPr>
            <w:tcW w:w="2268" w:type="dxa"/>
            <w:gridSpan w:val="2"/>
            <w:tcBorders>
              <w:top w:val="single" w:sz="4" w:space="0" w:color="auto"/>
            </w:tcBorders>
            <w:vAlign w:val="center"/>
          </w:tcPr>
          <w:p w:rsidR="00D51BB9" w:rsidRPr="00724F7E" w:rsidRDefault="00D51BB9" w:rsidP="00A006F5">
            <w:pPr>
              <w:jc w:val="center"/>
              <w:rPr>
                <w:sz w:val="20"/>
                <w:szCs w:val="20"/>
              </w:rPr>
            </w:pPr>
            <w:r w:rsidRPr="00724F7E">
              <w:rPr>
                <w:sz w:val="20"/>
                <w:szCs w:val="20"/>
              </w:rPr>
              <w:t>Subprime crisis period</w:t>
            </w:r>
          </w:p>
        </w:tc>
        <w:tc>
          <w:tcPr>
            <w:tcW w:w="236" w:type="dxa"/>
            <w:tcBorders>
              <w:top w:val="single" w:sz="4" w:space="0" w:color="auto"/>
            </w:tcBorders>
            <w:vAlign w:val="center"/>
          </w:tcPr>
          <w:p w:rsidR="00D51BB9" w:rsidRPr="00724F7E" w:rsidRDefault="00D51BB9" w:rsidP="00A006F5">
            <w:pPr>
              <w:jc w:val="center"/>
              <w:rPr>
                <w:sz w:val="20"/>
                <w:szCs w:val="20"/>
              </w:rPr>
            </w:pPr>
          </w:p>
        </w:tc>
        <w:tc>
          <w:tcPr>
            <w:tcW w:w="2268" w:type="dxa"/>
            <w:gridSpan w:val="2"/>
            <w:tcBorders>
              <w:top w:val="single" w:sz="4" w:space="0" w:color="auto"/>
            </w:tcBorders>
            <w:vAlign w:val="center"/>
          </w:tcPr>
          <w:p w:rsidR="00D51BB9" w:rsidRPr="00724F7E" w:rsidRDefault="00D51BB9" w:rsidP="00A006F5">
            <w:pPr>
              <w:jc w:val="center"/>
              <w:rPr>
                <w:sz w:val="20"/>
                <w:szCs w:val="20"/>
              </w:rPr>
            </w:pPr>
            <w:r w:rsidRPr="00724F7E">
              <w:rPr>
                <w:sz w:val="20"/>
                <w:szCs w:val="20"/>
              </w:rPr>
              <w:t>Sovereign crisis period</w:t>
            </w:r>
            <w:r>
              <w:rPr>
                <w:sz w:val="20"/>
                <w:szCs w:val="20"/>
              </w:rPr>
              <w:t xml:space="preserve"> I</w:t>
            </w:r>
          </w:p>
        </w:tc>
        <w:tc>
          <w:tcPr>
            <w:tcW w:w="236" w:type="dxa"/>
            <w:tcBorders>
              <w:top w:val="single" w:sz="4" w:space="0" w:color="auto"/>
            </w:tcBorders>
            <w:vAlign w:val="center"/>
          </w:tcPr>
          <w:p w:rsidR="00D51BB9" w:rsidRPr="00724F7E" w:rsidRDefault="00D51BB9" w:rsidP="00A006F5">
            <w:pPr>
              <w:jc w:val="center"/>
              <w:rPr>
                <w:sz w:val="20"/>
                <w:szCs w:val="20"/>
              </w:rPr>
            </w:pPr>
          </w:p>
        </w:tc>
        <w:tc>
          <w:tcPr>
            <w:tcW w:w="2268" w:type="dxa"/>
            <w:gridSpan w:val="2"/>
            <w:tcBorders>
              <w:top w:val="single" w:sz="4" w:space="0" w:color="auto"/>
            </w:tcBorders>
            <w:vAlign w:val="center"/>
          </w:tcPr>
          <w:p w:rsidR="00D51BB9" w:rsidRPr="00724F7E" w:rsidRDefault="00D51BB9" w:rsidP="00A006F5">
            <w:pPr>
              <w:jc w:val="center"/>
              <w:rPr>
                <w:sz w:val="20"/>
                <w:szCs w:val="20"/>
              </w:rPr>
            </w:pPr>
            <w:r w:rsidRPr="00724F7E">
              <w:rPr>
                <w:sz w:val="20"/>
                <w:szCs w:val="20"/>
              </w:rPr>
              <w:t>Sovereign crisis period</w:t>
            </w:r>
            <w:r>
              <w:rPr>
                <w:sz w:val="20"/>
                <w:szCs w:val="20"/>
              </w:rPr>
              <w:t xml:space="preserve"> II</w:t>
            </w:r>
          </w:p>
        </w:tc>
      </w:tr>
      <w:tr w:rsidR="00D51BB9" w:rsidRPr="00724F7E" w:rsidTr="00D51BB9">
        <w:trPr>
          <w:trHeight w:val="254"/>
          <w:jc w:val="center"/>
        </w:trPr>
        <w:tc>
          <w:tcPr>
            <w:tcW w:w="1245" w:type="dxa"/>
            <w:vAlign w:val="center"/>
          </w:tcPr>
          <w:p w:rsidR="00D51BB9" w:rsidRPr="00724F7E" w:rsidRDefault="00D51BB9" w:rsidP="00A006F5">
            <w:pPr>
              <w:rPr>
                <w:sz w:val="20"/>
                <w:szCs w:val="20"/>
              </w:rPr>
            </w:pPr>
          </w:p>
        </w:tc>
        <w:tc>
          <w:tcPr>
            <w:tcW w:w="236" w:type="dxa"/>
            <w:vAlign w:val="center"/>
          </w:tcPr>
          <w:p w:rsidR="00D51BB9" w:rsidRPr="00724F7E" w:rsidRDefault="00D51BB9" w:rsidP="00A006F5">
            <w:pPr>
              <w:jc w:val="center"/>
              <w:rPr>
                <w:sz w:val="20"/>
                <w:szCs w:val="20"/>
              </w:rPr>
            </w:pPr>
          </w:p>
        </w:tc>
        <w:tc>
          <w:tcPr>
            <w:tcW w:w="1134" w:type="dxa"/>
            <w:tcBorders>
              <w:bottom w:val="single" w:sz="4" w:space="0" w:color="auto"/>
            </w:tcBorders>
            <w:vAlign w:val="center"/>
          </w:tcPr>
          <w:p w:rsidR="00D51BB9" w:rsidRPr="00724F7E" w:rsidRDefault="00D51BB9" w:rsidP="00A006F5">
            <w:pPr>
              <w:jc w:val="center"/>
              <w:rPr>
                <w:sz w:val="20"/>
                <w:szCs w:val="20"/>
              </w:rPr>
            </w:pPr>
            <w:r w:rsidRPr="00724F7E">
              <w:rPr>
                <w:sz w:val="20"/>
                <w:szCs w:val="20"/>
              </w:rPr>
              <w:t>Mean</w:t>
            </w:r>
          </w:p>
        </w:tc>
        <w:tc>
          <w:tcPr>
            <w:tcW w:w="1134" w:type="dxa"/>
            <w:tcBorders>
              <w:bottom w:val="single" w:sz="4" w:space="0" w:color="auto"/>
            </w:tcBorders>
            <w:vAlign w:val="center"/>
          </w:tcPr>
          <w:p w:rsidR="00D51BB9" w:rsidRPr="00724F7E" w:rsidRDefault="00D51BB9" w:rsidP="00A006F5">
            <w:pPr>
              <w:jc w:val="center"/>
              <w:rPr>
                <w:sz w:val="20"/>
                <w:szCs w:val="20"/>
              </w:rPr>
            </w:pPr>
            <w:r w:rsidRPr="00724F7E">
              <w:rPr>
                <w:sz w:val="20"/>
                <w:szCs w:val="20"/>
              </w:rPr>
              <w:t>St.Dev.</w:t>
            </w:r>
          </w:p>
        </w:tc>
        <w:tc>
          <w:tcPr>
            <w:tcW w:w="236" w:type="dxa"/>
            <w:vAlign w:val="center"/>
          </w:tcPr>
          <w:p w:rsidR="00D51BB9" w:rsidRPr="00724F7E" w:rsidRDefault="00D51BB9" w:rsidP="00A006F5">
            <w:pPr>
              <w:jc w:val="center"/>
              <w:rPr>
                <w:sz w:val="20"/>
                <w:szCs w:val="20"/>
              </w:rPr>
            </w:pPr>
          </w:p>
        </w:tc>
        <w:tc>
          <w:tcPr>
            <w:tcW w:w="1134" w:type="dxa"/>
            <w:tcBorders>
              <w:bottom w:val="single" w:sz="4" w:space="0" w:color="auto"/>
            </w:tcBorders>
            <w:vAlign w:val="center"/>
          </w:tcPr>
          <w:p w:rsidR="00D51BB9" w:rsidRPr="00724F7E" w:rsidRDefault="00D51BB9" w:rsidP="00A006F5">
            <w:pPr>
              <w:jc w:val="center"/>
              <w:rPr>
                <w:sz w:val="20"/>
                <w:szCs w:val="20"/>
              </w:rPr>
            </w:pPr>
            <w:r w:rsidRPr="00724F7E">
              <w:rPr>
                <w:sz w:val="20"/>
                <w:szCs w:val="20"/>
              </w:rPr>
              <w:t>Mean</w:t>
            </w:r>
          </w:p>
        </w:tc>
        <w:tc>
          <w:tcPr>
            <w:tcW w:w="1134" w:type="dxa"/>
            <w:tcBorders>
              <w:bottom w:val="single" w:sz="4" w:space="0" w:color="auto"/>
            </w:tcBorders>
            <w:vAlign w:val="center"/>
          </w:tcPr>
          <w:p w:rsidR="00D51BB9" w:rsidRPr="00724F7E" w:rsidRDefault="00D51BB9" w:rsidP="00A006F5">
            <w:pPr>
              <w:jc w:val="center"/>
              <w:rPr>
                <w:sz w:val="20"/>
                <w:szCs w:val="20"/>
              </w:rPr>
            </w:pPr>
            <w:r w:rsidRPr="00724F7E">
              <w:rPr>
                <w:sz w:val="20"/>
                <w:szCs w:val="20"/>
              </w:rPr>
              <w:t>St.Dev.</w:t>
            </w:r>
          </w:p>
        </w:tc>
        <w:tc>
          <w:tcPr>
            <w:tcW w:w="236" w:type="dxa"/>
            <w:vAlign w:val="center"/>
          </w:tcPr>
          <w:p w:rsidR="00D51BB9" w:rsidRPr="00724F7E" w:rsidRDefault="00D51BB9" w:rsidP="00A006F5">
            <w:pPr>
              <w:jc w:val="center"/>
              <w:rPr>
                <w:sz w:val="20"/>
                <w:szCs w:val="20"/>
              </w:rPr>
            </w:pPr>
          </w:p>
        </w:tc>
        <w:tc>
          <w:tcPr>
            <w:tcW w:w="1134" w:type="dxa"/>
            <w:tcBorders>
              <w:bottom w:val="single" w:sz="4" w:space="0" w:color="auto"/>
            </w:tcBorders>
            <w:vAlign w:val="center"/>
          </w:tcPr>
          <w:p w:rsidR="00D51BB9" w:rsidRPr="00724F7E" w:rsidRDefault="00D51BB9" w:rsidP="00A006F5">
            <w:pPr>
              <w:jc w:val="center"/>
              <w:rPr>
                <w:sz w:val="20"/>
                <w:szCs w:val="20"/>
              </w:rPr>
            </w:pPr>
            <w:r w:rsidRPr="00724F7E">
              <w:rPr>
                <w:sz w:val="20"/>
                <w:szCs w:val="20"/>
              </w:rPr>
              <w:t>Mean</w:t>
            </w:r>
          </w:p>
        </w:tc>
        <w:tc>
          <w:tcPr>
            <w:tcW w:w="1134" w:type="dxa"/>
            <w:tcBorders>
              <w:bottom w:val="single" w:sz="4" w:space="0" w:color="auto"/>
            </w:tcBorders>
            <w:vAlign w:val="center"/>
          </w:tcPr>
          <w:p w:rsidR="00D51BB9" w:rsidRPr="00724F7E" w:rsidRDefault="00D51BB9" w:rsidP="00A006F5">
            <w:pPr>
              <w:jc w:val="center"/>
              <w:rPr>
                <w:sz w:val="20"/>
                <w:szCs w:val="20"/>
              </w:rPr>
            </w:pPr>
            <w:r w:rsidRPr="00724F7E">
              <w:rPr>
                <w:sz w:val="20"/>
                <w:szCs w:val="20"/>
              </w:rPr>
              <w:t>St.Dev.</w:t>
            </w:r>
          </w:p>
        </w:tc>
        <w:tc>
          <w:tcPr>
            <w:tcW w:w="236" w:type="dxa"/>
            <w:vAlign w:val="center"/>
          </w:tcPr>
          <w:p w:rsidR="00D51BB9" w:rsidRPr="00724F7E" w:rsidRDefault="00D51BB9" w:rsidP="00A006F5">
            <w:pPr>
              <w:jc w:val="center"/>
              <w:rPr>
                <w:sz w:val="20"/>
                <w:szCs w:val="20"/>
              </w:rPr>
            </w:pPr>
          </w:p>
        </w:tc>
        <w:tc>
          <w:tcPr>
            <w:tcW w:w="1134" w:type="dxa"/>
            <w:tcBorders>
              <w:bottom w:val="single" w:sz="4" w:space="0" w:color="auto"/>
            </w:tcBorders>
            <w:vAlign w:val="center"/>
          </w:tcPr>
          <w:p w:rsidR="00D51BB9" w:rsidRPr="00724F7E" w:rsidRDefault="00D51BB9" w:rsidP="00A006F5">
            <w:pPr>
              <w:jc w:val="center"/>
              <w:rPr>
                <w:sz w:val="20"/>
                <w:szCs w:val="20"/>
              </w:rPr>
            </w:pPr>
            <w:r w:rsidRPr="00724F7E">
              <w:rPr>
                <w:sz w:val="20"/>
                <w:szCs w:val="20"/>
              </w:rPr>
              <w:t>Mean</w:t>
            </w:r>
          </w:p>
        </w:tc>
        <w:tc>
          <w:tcPr>
            <w:tcW w:w="1134" w:type="dxa"/>
            <w:tcBorders>
              <w:bottom w:val="single" w:sz="4" w:space="0" w:color="auto"/>
            </w:tcBorders>
            <w:vAlign w:val="center"/>
          </w:tcPr>
          <w:p w:rsidR="00D51BB9" w:rsidRPr="00724F7E" w:rsidRDefault="00D51BB9" w:rsidP="00A006F5">
            <w:pPr>
              <w:jc w:val="center"/>
              <w:rPr>
                <w:sz w:val="20"/>
                <w:szCs w:val="20"/>
              </w:rPr>
            </w:pPr>
            <w:r w:rsidRPr="00724F7E">
              <w:rPr>
                <w:sz w:val="20"/>
                <w:szCs w:val="20"/>
              </w:rPr>
              <w:t>St.Dev.</w:t>
            </w:r>
          </w:p>
        </w:tc>
      </w:tr>
      <w:tr w:rsidR="00D51BB9" w:rsidRPr="00724F7E" w:rsidTr="00D51BB9">
        <w:trPr>
          <w:trHeight w:val="254"/>
          <w:jc w:val="center"/>
        </w:trPr>
        <w:tc>
          <w:tcPr>
            <w:tcW w:w="1245" w:type="dxa"/>
            <w:vAlign w:val="center"/>
          </w:tcPr>
          <w:p w:rsidR="00D51BB9" w:rsidRDefault="00D51BB9" w:rsidP="00A006F5">
            <w:pPr>
              <w:rPr>
                <w:rFonts w:ascii="Calibri" w:hAnsi="Calibri"/>
                <w:color w:val="000000"/>
                <w:sz w:val="20"/>
                <w:szCs w:val="20"/>
              </w:rPr>
            </w:pPr>
            <w:r>
              <w:rPr>
                <w:rFonts w:ascii="Calibri" w:hAnsi="Calibri"/>
                <w:color w:val="000000"/>
                <w:sz w:val="20"/>
                <w:szCs w:val="20"/>
              </w:rPr>
              <w:t>Germany</w:t>
            </w:r>
          </w:p>
        </w:tc>
        <w:tc>
          <w:tcPr>
            <w:tcW w:w="236" w:type="dxa"/>
          </w:tcPr>
          <w:p w:rsidR="00D51BB9" w:rsidRPr="00724F7E" w:rsidRDefault="00D51BB9" w:rsidP="00A006F5">
            <w:pPr>
              <w:jc w:val="center"/>
              <w:rPr>
                <w:sz w:val="20"/>
                <w:szCs w:val="20"/>
              </w:rPr>
            </w:pPr>
          </w:p>
        </w:tc>
        <w:tc>
          <w:tcPr>
            <w:tcW w:w="1134" w:type="dxa"/>
            <w:tcBorders>
              <w:top w:val="single" w:sz="4" w:space="0" w:color="auto"/>
            </w:tcBorders>
            <w:vAlign w:val="bottom"/>
          </w:tcPr>
          <w:p w:rsidR="00D51BB9" w:rsidRPr="004F1F8A" w:rsidRDefault="00D51BB9" w:rsidP="00A006F5">
            <w:pPr>
              <w:jc w:val="center"/>
              <w:rPr>
                <w:rFonts w:ascii="Calibri" w:hAnsi="Calibri"/>
                <w:color w:val="000000"/>
                <w:sz w:val="20"/>
                <w:szCs w:val="20"/>
              </w:rPr>
            </w:pPr>
            <w:r w:rsidRPr="004F1F8A">
              <w:rPr>
                <w:rFonts w:ascii="Calibri" w:hAnsi="Calibri"/>
                <w:color w:val="000000"/>
                <w:sz w:val="20"/>
                <w:szCs w:val="20"/>
              </w:rPr>
              <w:t>9.6</w:t>
            </w:r>
          </w:p>
        </w:tc>
        <w:tc>
          <w:tcPr>
            <w:tcW w:w="1134" w:type="dxa"/>
            <w:tcBorders>
              <w:top w:val="single" w:sz="4" w:space="0" w:color="auto"/>
            </w:tcBorders>
            <w:vAlign w:val="bottom"/>
          </w:tcPr>
          <w:p w:rsidR="00D51BB9" w:rsidRPr="004F1F8A" w:rsidRDefault="00D51BB9" w:rsidP="00A006F5">
            <w:pPr>
              <w:jc w:val="center"/>
              <w:rPr>
                <w:rFonts w:ascii="Calibri" w:hAnsi="Calibri"/>
                <w:color w:val="000000"/>
                <w:sz w:val="20"/>
                <w:szCs w:val="20"/>
              </w:rPr>
            </w:pPr>
            <w:r w:rsidRPr="004F1F8A">
              <w:rPr>
                <w:rFonts w:ascii="Calibri" w:hAnsi="Calibri"/>
                <w:color w:val="000000"/>
                <w:sz w:val="20"/>
                <w:szCs w:val="20"/>
              </w:rPr>
              <w:t>106.4</w:t>
            </w:r>
          </w:p>
        </w:tc>
        <w:tc>
          <w:tcPr>
            <w:tcW w:w="236" w:type="dxa"/>
            <w:vAlign w:val="bottom"/>
          </w:tcPr>
          <w:p w:rsidR="00D51BB9" w:rsidRPr="004F1F8A" w:rsidRDefault="00D51BB9" w:rsidP="00A006F5">
            <w:pPr>
              <w:jc w:val="center"/>
              <w:rPr>
                <w:rFonts w:ascii="Calibri" w:hAnsi="Calibri"/>
                <w:color w:val="000000"/>
                <w:sz w:val="20"/>
                <w:szCs w:val="20"/>
              </w:rPr>
            </w:pPr>
          </w:p>
        </w:tc>
        <w:tc>
          <w:tcPr>
            <w:tcW w:w="1134" w:type="dxa"/>
            <w:tcBorders>
              <w:top w:val="single" w:sz="4" w:space="0" w:color="auto"/>
            </w:tcBorders>
            <w:vAlign w:val="bottom"/>
          </w:tcPr>
          <w:p w:rsidR="00D51BB9" w:rsidRPr="004F1F8A" w:rsidRDefault="00D51BB9" w:rsidP="00A006F5">
            <w:pPr>
              <w:jc w:val="center"/>
              <w:rPr>
                <w:rFonts w:ascii="Calibri" w:hAnsi="Calibri"/>
                <w:color w:val="000000"/>
                <w:sz w:val="20"/>
                <w:szCs w:val="20"/>
              </w:rPr>
            </w:pPr>
            <w:r w:rsidRPr="004F1F8A">
              <w:rPr>
                <w:rFonts w:ascii="Calibri" w:hAnsi="Calibri"/>
                <w:color w:val="000000"/>
                <w:sz w:val="20"/>
                <w:szCs w:val="20"/>
              </w:rPr>
              <w:t>-3.2</w:t>
            </w:r>
          </w:p>
        </w:tc>
        <w:tc>
          <w:tcPr>
            <w:tcW w:w="1134" w:type="dxa"/>
            <w:tcBorders>
              <w:top w:val="single" w:sz="4" w:space="0" w:color="auto"/>
            </w:tcBorders>
            <w:vAlign w:val="bottom"/>
          </w:tcPr>
          <w:p w:rsidR="00D51BB9" w:rsidRPr="004F1F8A" w:rsidRDefault="00D51BB9" w:rsidP="00A006F5">
            <w:pPr>
              <w:jc w:val="center"/>
              <w:rPr>
                <w:rFonts w:ascii="Calibri" w:hAnsi="Calibri"/>
                <w:color w:val="000000"/>
                <w:sz w:val="20"/>
                <w:szCs w:val="20"/>
              </w:rPr>
            </w:pPr>
            <w:r w:rsidRPr="004F1F8A">
              <w:rPr>
                <w:rFonts w:ascii="Calibri" w:hAnsi="Calibri"/>
                <w:color w:val="000000"/>
                <w:sz w:val="20"/>
                <w:szCs w:val="20"/>
              </w:rPr>
              <w:t>193.1</w:t>
            </w:r>
          </w:p>
        </w:tc>
        <w:tc>
          <w:tcPr>
            <w:tcW w:w="236" w:type="dxa"/>
            <w:vAlign w:val="bottom"/>
          </w:tcPr>
          <w:p w:rsidR="00D51BB9" w:rsidRPr="004F1F8A" w:rsidRDefault="00D51BB9" w:rsidP="00A006F5">
            <w:pPr>
              <w:jc w:val="center"/>
              <w:rPr>
                <w:rFonts w:ascii="Calibri" w:hAnsi="Calibri"/>
                <w:color w:val="000000"/>
                <w:sz w:val="20"/>
                <w:szCs w:val="20"/>
              </w:rPr>
            </w:pPr>
          </w:p>
        </w:tc>
        <w:tc>
          <w:tcPr>
            <w:tcW w:w="1134" w:type="dxa"/>
            <w:tcBorders>
              <w:top w:val="single" w:sz="4" w:space="0" w:color="auto"/>
            </w:tcBorders>
            <w:vAlign w:val="bottom"/>
          </w:tcPr>
          <w:p w:rsidR="00D51BB9" w:rsidRPr="004F1F8A" w:rsidRDefault="00D51BB9" w:rsidP="00A006F5">
            <w:pPr>
              <w:jc w:val="center"/>
              <w:rPr>
                <w:rFonts w:ascii="Calibri" w:hAnsi="Calibri"/>
                <w:color w:val="000000"/>
                <w:sz w:val="20"/>
                <w:szCs w:val="20"/>
              </w:rPr>
            </w:pPr>
            <w:r w:rsidRPr="004F1F8A">
              <w:rPr>
                <w:rFonts w:ascii="Calibri" w:hAnsi="Calibri"/>
                <w:color w:val="000000"/>
                <w:sz w:val="20"/>
                <w:szCs w:val="20"/>
              </w:rPr>
              <w:t>-0.3</w:t>
            </w:r>
          </w:p>
        </w:tc>
        <w:tc>
          <w:tcPr>
            <w:tcW w:w="1134" w:type="dxa"/>
            <w:tcBorders>
              <w:top w:val="single" w:sz="4" w:space="0" w:color="auto"/>
            </w:tcBorders>
            <w:vAlign w:val="bottom"/>
          </w:tcPr>
          <w:p w:rsidR="00D51BB9" w:rsidRPr="004F1F8A" w:rsidRDefault="00D51BB9" w:rsidP="00A006F5">
            <w:pPr>
              <w:jc w:val="center"/>
              <w:rPr>
                <w:rFonts w:ascii="Calibri" w:hAnsi="Calibri"/>
                <w:color w:val="000000"/>
                <w:sz w:val="20"/>
                <w:szCs w:val="20"/>
              </w:rPr>
            </w:pPr>
            <w:r w:rsidRPr="004F1F8A">
              <w:rPr>
                <w:rFonts w:ascii="Calibri" w:hAnsi="Calibri"/>
                <w:color w:val="000000"/>
                <w:sz w:val="20"/>
                <w:szCs w:val="20"/>
              </w:rPr>
              <w:t>150.5</w:t>
            </w:r>
          </w:p>
        </w:tc>
        <w:tc>
          <w:tcPr>
            <w:tcW w:w="236" w:type="dxa"/>
            <w:vAlign w:val="bottom"/>
          </w:tcPr>
          <w:p w:rsidR="00D51BB9" w:rsidRPr="004F1F8A" w:rsidRDefault="00D51BB9" w:rsidP="00A006F5">
            <w:pPr>
              <w:jc w:val="center"/>
              <w:rPr>
                <w:rFonts w:ascii="Calibri" w:hAnsi="Calibri"/>
                <w:color w:val="000000"/>
                <w:sz w:val="20"/>
                <w:szCs w:val="20"/>
              </w:rPr>
            </w:pPr>
          </w:p>
        </w:tc>
        <w:tc>
          <w:tcPr>
            <w:tcW w:w="1134" w:type="dxa"/>
            <w:tcBorders>
              <w:top w:val="single" w:sz="4" w:space="0" w:color="auto"/>
            </w:tcBorders>
            <w:vAlign w:val="bottom"/>
          </w:tcPr>
          <w:p w:rsidR="00D51BB9" w:rsidRPr="004F1F8A" w:rsidRDefault="00D51BB9" w:rsidP="00A006F5">
            <w:pPr>
              <w:jc w:val="center"/>
              <w:rPr>
                <w:rFonts w:ascii="Calibri" w:hAnsi="Calibri"/>
                <w:color w:val="000000"/>
                <w:sz w:val="20"/>
                <w:szCs w:val="20"/>
              </w:rPr>
            </w:pPr>
            <w:r w:rsidRPr="004F1F8A">
              <w:rPr>
                <w:rFonts w:ascii="Calibri" w:hAnsi="Calibri"/>
                <w:color w:val="000000"/>
                <w:sz w:val="20"/>
                <w:szCs w:val="20"/>
              </w:rPr>
              <w:t>8.4</w:t>
            </w:r>
          </w:p>
        </w:tc>
        <w:tc>
          <w:tcPr>
            <w:tcW w:w="1134" w:type="dxa"/>
            <w:tcBorders>
              <w:top w:val="single" w:sz="4" w:space="0" w:color="auto"/>
            </w:tcBorders>
            <w:vAlign w:val="bottom"/>
          </w:tcPr>
          <w:p w:rsidR="00D51BB9" w:rsidRPr="004F1F8A" w:rsidRDefault="00D51BB9" w:rsidP="00A006F5">
            <w:pPr>
              <w:jc w:val="center"/>
              <w:rPr>
                <w:rFonts w:ascii="Calibri" w:hAnsi="Calibri"/>
                <w:color w:val="000000"/>
                <w:sz w:val="20"/>
                <w:szCs w:val="20"/>
              </w:rPr>
            </w:pPr>
            <w:r w:rsidRPr="004F1F8A">
              <w:rPr>
                <w:rFonts w:ascii="Calibri" w:hAnsi="Calibri"/>
                <w:color w:val="000000"/>
                <w:sz w:val="20"/>
                <w:szCs w:val="20"/>
              </w:rPr>
              <w:t>104.8</w:t>
            </w:r>
          </w:p>
        </w:tc>
      </w:tr>
      <w:tr w:rsidR="00D51BB9" w:rsidRPr="00724F7E" w:rsidTr="00D51BB9">
        <w:trPr>
          <w:trHeight w:val="254"/>
          <w:jc w:val="center"/>
        </w:trPr>
        <w:tc>
          <w:tcPr>
            <w:tcW w:w="1245" w:type="dxa"/>
            <w:vAlign w:val="center"/>
          </w:tcPr>
          <w:p w:rsidR="00D51BB9" w:rsidRDefault="00D51BB9" w:rsidP="00A006F5">
            <w:pPr>
              <w:rPr>
                <w:rFonts w:ascii="Calibri" w:hAnsi="Calibri"/>
                <w:color w:val="000000"/>
                <w:sz w:val="20"/>
                <w:szCs w:val="20"/>
              </w:rPr>
            </w:pPr>
            <w:r>
              <w:rPr>
                <w:rFonts w:ascii="Calibri" w:hAnsi="Calibri"/>
                <w:color w:val="000000"/>
                <w:sz w:val="20"/>
                <w:szCs w:val="20"/>
              </w:rPr>
              <w:t>Netherlands</w:t>
            </w:r>
          </w:p>
        </w:tc>
        <w:tc>
          <w:tcPr>
            <w:tcW w:w="236" w:type="dxa"/>
          </w:tcPr>
          <w:p w:rsidR="00D51BB9" w:rsidRPr="00724F7E" w:rsidRDefault="00D51BB9" w:rsidP="00A006F5">
            <w:pPr>
              <w:jc w:val="center"/>
              <w:rPr>
                <w:sz w:val="20"/>
                <w:szCs w:val="20"/>
              </w:rPr>
            </w:pPr>
          </w:p>
        </w:tc>
        <w:tc>
          <w:tcPr>
            <w:tcW w:w="1134" w:type="dxa"/>
            <w:vAlign w:val="bottom"/>
          </w:tcPr>
          <w:p w:rsidR="00D51BB9" w:rsidRPr="004F1F8A" w:rsidRDefault="00D51BB9" w:rsidP="00A006F5">
            <w:pPr>
              <w:jc w:val="center"/>
              <w:rPr>
                <w:rFonts w:ascii="Calibri" w:hAnsi="Calibri"/>
                <w:color w:val="000000"/>
                <w:sz w:val="20"/>
                <w:szCs w:val="20"/>
              </w:rPr>
            </w:pPr>
            <w:r w:rsidRPr="004F1F8A">
              <w:rPr>
                <w:rFonts w:ascii="Calibri" w:hAnsi="Calibri"/>
                <w:color w:val="000000"/>
                <w:sz w:val="20"/>
                <w:szCs w:val="20"/>
              </w:rPr>
              <w:t>7.2</w:t>
            </w:r>
          </w:p>
        </w:tc>
        <w:tc>
          <w:tcPr>
            <w:tcW w:w="1134" w:type="dxa"/>
            <w:vAlign w:val="bottom"/>
          </w:tcPr>
          <w:p w:rsidR="00D51BB9" w:rsidRPr="004F1F8A" w:rsidRDefault="00D51BB9" w:rsidP="00A006F5">
            <w:pPr>
              <w:jc w:val="center"/>
              <w:rPr>
                <w:rFonts w:ascii="Calibri" w:hAnsi="Calibri"/>
                <w:color w:val="000000"/>
                <w:sz w:val="20"/>
                <w:szCs w:val="20"/>
              </w:rPr>
            </w:pPr>
            <w:r w:rsidRPr="004F1F8A">
              <w:rPr>
                <w:rFonts w:ascii="Calibri" w:hAnsi="Calibri"/>
                <w:color w:val="000000"/>
                <w:sz w:val="20"/>
                <w:szCs w:val="20"/>
              </w:rPr>
              <w:t>97.1</w:t>
            </w:r>
          </w:p>
        </w:tc>
        <w:tc>
          <w:tcPr>
            <w:tcW w:w="236" w:type="dxa"/>
            <w:vAlign w:val="bottom"/>
          </w:tcPr>
          <w:p w:rsidR="00D51BB9" w:rsidRPr="004F1F8A" w:rsidRDefault="00D51BB9" w:rsidP="00A006F5">
            <w:pPr>
              <w:jc w:val="center"/>
              <w:rPr>
                <w:rFonts w:ascii="Calibri" w:hAnsi="Calibri"/>
                <w:color w:val="000000"/>
                <w:sz w:val="20"/>
                <w:szCs w:val="20"/>
              </w:rPr>
            </w:pPr>
          </w:p>
        </w:tc>
        <w:tc>
          <w:tcPr>
            <w:tcW w:w="1134" w:type="dxa"/>
            <w:vAlign w:val="bottom"/>
          </w:tcPr>
          <w:p w:rsidR="00D51BB9" w:rsidRPr="004F1F8A" w:rsidRDefault="00D51BB9" w:rsidP="00A006F5">
            <w:pPr>
              <w:jc w:val="center"/>
              <w:rPr>
                <w:rFonts w:ascii="Calibri" w:hAnsi="Calibri"/>
                <w:color w:val="000000"/>
                <w:sz w:val="20"/>
                <w:szCs w:val="20"/>
              </w:rPr>
            </w:pPr>
            <w:r w:rsidRPr="004F1F8A">
              <w:rPr>
                <w:rFonts w:ascii="Calibri" w:hAnsi="Calibri"/>
                <w:color w:val="000000"/>
                <w:sz w:val="20"/>
                <w:szCs w:val="20"/>
              </w:rPr>
              <w:t>-5.2</w:t>
            </w:r>
          </w:p>
        </w:tc>
        <w:tc>
          <w:tcPr>
            <w:tcW w:w="1134" w:type="dxa"/>
            <w:vAlign w:val="bottom"/>
          </w:tcPr>
          <w:p w:rsidR="00D51BB9" w:rsidRPr="004F1F8A" w:rsidRDefault="00D51BB9" w:rsidP="00A006F5">
            <w:pPr>
              <w:jc w:val="center"/>
              <w:rPr>
                <w:rFonts w:ascii="Calibri" w:hAnsi="Calibri"/>
                <w:color w:val="000000"/>
                <w:sz w:val="20"/>
                <w:szCs w:val="20"/>
              </w:rPr>
            </w:pPr>
            <w:r w:rsidRPr="004F1F8A">
              <w:rPr>
                <w:rFonts w:ascii="Calibri" w:hAnsi="Calibri"/>
                <w:color w:val="000000"/>
                <w:sz w:val="20"/>
                <w:szCs w:val="20"/>
              </w:rPr>
              <w:t>209.6</w:t>
            </w:r>
          </w:p>
        </w:tc>
        <w:tc>
          <w:tcPr>
            <w:tcW w:w="236" w:type="dxa"/>
            <w:vAlign w:val="bottom"/>
          </w:tcPr>
          <w:p w:rsidR="00D51BB9" w:rsidRPr="004F1F8A" w:rsidRDefault="00D51BB9" w:rsidP="00A006F5">
            <w:pPr>
              <w:jc w:val="center"/>
              <w:rPr>
                <w:rFonts w:ascii="Calibri" w:hAnsi="Calibri"/>
                <w:color w:val="000000"/>
                <w:sz w:val="20"/>
                <w:szCs w:val="20"/>
              </w:rPr>
            </w:pPr>
          </w:p>
        </w:tc>
        <w:tc>
          <w:tcPr>
            <w:tcW w:w="1134" w:type="dxa"/>
            <w:vAlign w:val="bottom"/>
          </w:tcPr>
          <w:p w:rsidR="00D51BB9" w:rsidRPr="004F1F8A" w:rsidRDefault="00D51BB9" w:rsidP="00A006F5">
            <w:pPr>
              <w:jc w:val="center"/>
              <w:rPr>
                <w:rFonts w:ascii="Calibri" w:hAnsi="Calibri"/>
                <w:color w:val="000000"/>
                <w:sz w:val="20"/>
                <w:szCs w:val="20"/>
              </w:rPr>
            </w:pPr>
            <w:r w:rsidRPr="004F1F8A">
              <w:rPr>
                <w:rFonts w:ascii="Calibri" w:hAnsi="Calibri"/>
                <w:color w:val="000000"/>
                <w:sz w:val="20"/>
                <w:szCs w:val="20"/>
              </w:rPr>
              <w:t>-0.5</w:t>
            </w:r>
          </w:p>
        </w:tc>
        <w:tc>
          <w:tcPr>
            <w:tcW w:w="1134" w:type="dxa"/>
            <w:vAlign w:val="bottom"/>
          </w:tcPr>
          <w:p w:rsidR="00D51BB9" w:rsidRPr="004F1F8A" w:rsidRDefault="00D51BB9" w:rsidP="00A006F5">
            <w:pPr>
              <w:jc w:val="center"/>
              <w:rPr>
                <w:rFonts w:ascii="Calibri" w:hAnsi="Calibri"/>
                <w:color w:val="000000"/>
                <w:sz w:val="20"/>
                <w:szCs w:val="20"/>
              </w:rPr>
            </w:pPr>
            <w:r w:rsidRPr="004F1F8A">
              <w:rPr>
                <w:rFonts w:ascii="Calibri" w:hAnsi="Calibri"/>
                <w:color w:val="000000"/>
                <w:sz w:val="20"/>
                <w:szCs w:val="20"/>
              </w:rPr>
              <w:t>134.2</w:t>
            </w:r>
          </w:p>
        </w:tc>
        <w:tc>
          <w:tcPr>
            <w:tcW w:w="236" w:type="dxa"/>
            <w:vAlign w:val="bottom"/>
          </w:tcPr>
          <w:p w:rsidR="00D51BB9" w:rsidRPr="004F1F8A" w:rsidRDefault="00D51BB9" w:rsidP="00A006F5">
            <w:pPr>
              <w:jc w:val="center"/>
              <w:rPr>
                <w:rFonts w:ascii="Calibri" w:hAnsi="Calibri"/>
                <w:color w:val="000000"/>
                <w:sz w:val="20"/>
                <w:szCs w:val="20"/>
              </w:rPr>
            </w:pPr>
          </w:p>
        </w:tc>
        <w:tc>
          <w:tcPr>
            <w:tcW w:w="1134" w:type="dxa"/>
            <w:vAlign w:val="bottom"/>
          </w:tcPr>
          <w:p w:rsidR="00D51BB9" w:rsidRPr="004F1F8A" w:rsidRDefault="00D51BB9" w:rsidP="00A006F5">
            <w:pPr>
              <w:jc w:val="center"/>
              <w:rPr>
                <w:rFonts w:ascii="Calibri" w:hAnsi="Calibri"/>
                <w:color w:val="000000"/>
                <w:sz w:val="20"/>
                <w:szCs w:val="20"/>
              </w:rPr>
            </w:pPr>
            <w:r w:rsidRPr="004F1F8A">
              <w:rPr>
                <w:rFonts w:ascii="Calibri" w:hAnsi="Calibri"/>
                <w:color w:val="000000"/>
                <w:sz w:val="20"/>
                <w:szCs w:val="20"/>
              </w:rPr>
              <w:t>5.2</w:t>
            </w:r>
          </w:p>
        </w:tc>
        <w:tc>
          <w:tcPr>
            <w:tcW w:w="1134" w:type="dxa"/>
            <w:vAlign w:val="bottom"/>
          </w:tcPr>
          <w:p w:rsidR="00D51BB9" w:rsidRPr="004F1F8A" w:rsidRDefault="00D51BB9" w:rsidP="00A006F5">
            <w:pPr>
              <w:jc w:val="center"/>
              <w:rPr>
                <w:rFonts w:ascii="Calibri" w:hAnsi="Calibri"/>
                <w:color w:val="000000"/>
                <w:sz w:val="20"/>
                <w:szCs w:val="20"/>
              </w:rPr>
            </w:pPr>
            <w:r w:rsidRPr="004F1F8A">
              <w:rPr>
                <w:rFonts w:ascii="Calibri" w:hAnsi="Calibri"/>
                <w:color w:val="000000"/>
                <w:sz w:val="20"/>
                <w:szCs w:val="20"/>
              </w:rPr>
              <w:t>90.1</w:t>
            </w:r>
          </w:p>
        </w:tc>
      </w:tr>
      <w:tr w:rsidR="00D51BB9" w:rsidRPr="00724F7E" w:rsidTr="00D51BB9">
        <w:trPr>
          <w:trHeight w:val="254"/>
          <w:jc w:val="center"/>
        </w:trPr>
        <w:tc>
          <w:tcPr>
            <w:tcW w:w="1245" w:type="dxa"/>
            <w:vAlign w:val="center"/>
          </w:tcPr>
          <w:p w:rsidR="00D51BB9" w:rsidRDefault="00D51BB9" w:rsidP="00A006F5">
            <w:pPr>
              <w:rPr>
                <w:rFonts w:ascii="Calibri" w:hAnsi="Calibri"/>
                <w:color w:val="000000"/>
                <w:sz w:val="20"/>
                <w:szCs w:val="20"/>
              </w:rPr>
            </w:pPr>
            <w:r>
              <w:rPr>
                <w:rFonts w:ascii="Calibri" w:hAnsi="Calibri"/>
                <w:color w:val="000000"/>
                <w:sz w:val="20"/>
                <w:szCs w:val="20"/>
              </w:rPr>
              <w:t>Finland</w:t>
            </w:r>
          </w:p>
        </w:tc>
        <w:tc>
          <w:tcPr>
            <w:tcW w:w="236" w:type="dxa"/>
          </w:tcPr>
          <w:p w:rsidR="00D51BB9" w:rsidRPr="00724F7E" w:rsidRDefault="00D51BB9" w:rsidP="00A006F5">
            <w:pPr>
              <w:jc w:val="center"/>
              <w:rPr>
                <w:sz w:val="20"/>
                <w:szCs w:val="20"/>
              </w:rPr>
            </w:pPr>
          </w:p>
        </w:tc>
        <w:tc>
          <w:tcPr>
            <w:tcW w:w="1134" w:type="dxa"/>
            <w:vAlign w:val="bottom"/>
          </w:tcPr>
          <w:p w:rsidR="00D51BB9" w:rsidRPr="004F1F8A" w:rsidRDefault="00D51BB9" w:rsidP="00A006F5">
            <w:pPr>
              <w:jc w:val="center"/>
              <w:rPr>
                <w:rFonts w:ascii="Calibri" w:hAnsi="Calibri"/>
                <w:color w:val="000000"/>
                <w:sz w:val="20"/>
                <w:szCs w:val="20"/>
              </w:rPr>
            </w:pPr>
            <w:r w:rsidRPr="004F1F8A">
              <w:rPr>
                <w:rFonts w:ascii="Calibri" w:hAnsi="Calibri"/>
                <w:color w:val="000000"/>
                <w:sz w:val="20"/>
                <w:szCs w:val="20"/>
              </w:rPr>
              <w:t>9.8</w:t>
            </w:r>
          </w:p>
        </w:tc>
        <w:tc>
          <w:tcPr>
            <w:tcW w:w="1134" w:type="dxa"/>
            <w:vAlign w:val="bottom"/>
          </w:tcPr>
          <w:p w:rsidR="00D51BB9" w:rsidRPr="004F1F8A" w:rsidRDefault="00D51BB9" w:rsidP="00A006F5">
            <w:pPr>
              <w:jc w:val="center"/>
              <w:rPr>
                <w:rFonts w:ascii="Calibri" w:hAnsi="Calibri"/>
                <w:color w:val="000000"/>
                <w:sz w:val="20"/>
                <w:szCs w:val="20"/>
              </w:rPr>
            </w:pPr>
            <w:r w:rsidRPr="004F1F8A">
              <w:rPr>
                <w:rFonts w:ascii="Calibri" w:hAnsi="Calibri"/>
                <w:color w:val="000000"/>
                <w:sz w:val="20"/>
                <w:szCs w:val="20"/>
              </w:rPr>
              <w:t>91.1</w:t>
            </w:r>
          </w:p>
        </w:tc>
        <w:tc>
          <w:tcPr>
            <w:tcW w:w="236" w:type="dxa"/>
            <w:vAlign w:val="bottom"/>
          </w:tcPr>
          <w:p w:rsidR="00D51BB9" w:rsidRPr="004F1F8A" w:rsidRDefault="00D51BB9" w:rsidP="00A006F5">
            <w:pPr>
              <w:jc w:val="center"/>
              <w:rPr>
                <w:rFonts w:ascii="Calibri" w:hAnsi="Calibri"/>
                <w:color w:val="000000"/>
                <w:sz w:val="20"/>
                <w:szCs w:val="20"/>
              </w:rPr>
            </w:pPr>
          </w:p>
        </w:tc>
        <w:tc>
          <w:tcPr>
            <w:tcW w:w="1134" w:type="dxa"/>
            <w:vAlign w:val="bottom"/>
          </w:tcPr>
          <w:p w:rsidR="00D51BB9" w:rsidRPr="004F1F8A" w:rsidRDefault="00D51BB9" w:rsidP="00A006F5">
            <w:pPr>
              <w:jc w:val="center"/>
              <w:rPr>
                <w:rFonts w:ascii="Calibri" w:hAnsi="Calibri"/>
                <w:color w:val="000000"/>
                <w:sz w:val="20"/>
                <w:szCs w:val="20"/>
              </w:rPr>
            </w:pPr>
            <w:r w:rsidRPr="004F1F8A">
              <w:rPr>
                <w:rFonts w:ascii="Calibri" w:hAnsi="Calibri"/>
                <w:color w:val="000000"/>
                <w:sz w:val="20"/>
                <w:szCs w:val="20"/>
              </w:rPr>
              <w:t>-5.0</w:t>
            </w:r>
          </w:p>
        </w:tc>
        <w:tc>
          <w:tcPr>
            <w:tcW w:w="1134" w:type="dxa"/>
            <w:vAlign w:val="bottom"/>
          </w:tcPr>
          <w:p w:rsidR="00D51BB9" w:rsidRPr="004F1F8A" w:rsidRDefault="00D51BB9" w:rsidP="00A006F5">
            <w:pPr>
              <w:jc w:val="center"/>
              <w:rPr>
                <w:rFonts w:ascii="Calibri" w:hAnsi="Calibri"/>
                <w:color w:val="000000"/>
                <w:sz w:val="20"/>
                <w:szCs w:val="20"/>
              </w:rPr>
            </w:pPr>
            <w:r w:rsidRPr="004F1F8A">
              <w:rPr>
                <w:rFonts w:ascii="Calibri" w:hAnsi="Calibri"/>
                <w:color w:val="000000"/>
                <w:sz w:val="20"/>
                <w:szCs w:val="20"/>
              </w:rPr>
              <w:t>206.4</w:t>
            </w:r>
          </w:p>
        </w:tc>
        <w:tc>
          <w:tcPr>
            <w:tcW w:w="236" w:type="dxa"/>
            <w:vAlign w:val="bottom"/>
          </w:tcPr>
          <w:p w:rsidR="00D51BB9" w:rsidRPr="004F1F8A" w:rsidRDefault="00D51BB9" w:rsidP="00A006F5">
            <w:pPr>
              <w:jc w:val="center"/>
              <w:rPr>
                <w:rFonts w:ascii="Calibri" w:hAnsi="Calibri"/>
                <w:color w:val="000000"/>
                <w:sz w:val="20"/>
                <w:szCs w:val="20"/>
              </w:rPr>
            </w:pPr>
          </w:p>
        </w:tc>
        <w:tc>
          <w:tcPr>
            <w:tcW w:w="1134" w:type="dxa"/>
            <w:vAlign w:val="bottom"/>
          </w:tcPr>
          <w:p w:rsidR="00D51BB9" w:rsidRPr="004F1F8A" w:rsidRDefault="00D51BB9" w:rsidP="00A006F5">
            <w:pPr>
              <w:jc w:val="center"/>
              <w:rPr>
                <w:rFonts w:ascii="Calibri" w:hAnsi="Calibri"/>
                <w:color w:val="000000"/>
                <w:sz w:val="20"/>
                <w:szCs w:val="20"/>
              </w:rPr>
            </w:pPr>
            <w:r w:rsidRPr="004F1F8A">
              <w:rPr>
                <w:rFonts w:ascii="Calibri" w:hAnsi="Calibri"/>
                <w:color w:val="000000"/>
                <w:sz w:val="20"/>
                <w:szCs w:val="20"/>
              </w:rPr>
              <w:t>0.5</w:t>
            </w:r>
          </w:p>
        </w:tc>
        <w:tc>
          <w:tcPr>
            <w:tcW w:w="1134" w:type="dxa"/>
            <w:vAlign w:val="bottom"/>
          </w:tcPr>
          <w:p w:rsidR="00D51BB9" w:rsidRPr="004F1F8A" w:rsidRDefault="00D51BB9" w:rsidP="00A006F5">
            <w:pPr>
              <w:jc w:val="center"/>
              <w:rPr>
                <w:rFonts w:ascii="Calibri" w:hAnsi="Calibri"/>
                <w:color w:val="000000"/>
                <w:sz w:val="20"/>
                <w:szCs w:val="20"/>
              </w:rPr>
            </w:pPr>
            <w:r w:rsidRPr="004F1F8A">
              <w:rPr>
                <w:rFonts w:ascii="Calibri" w:hAnsi="Calibri"/>
                <w:color w:val="000000"/>
                <w:sz w:val="20"/>
                <w:szCs w:val="20"/>
              </w:rPr>
              <w:t>164.7</w:t>
            </w:r>
          </w:p>
        </w:tc>
        <w:tc>
          <w:tcPr>
            <w:tcW w:w="236" w:type="dxa"/>
            <w:vAlign w:val="bottom"/>
          </w:tcPr>
          <w:p w:rsidR="00D51BB9" w:rsidRPr="004F1F8A" w:rsidRDefault="00D51BB9" w:rsidP="00A006F5">
            <w:pPr>
              <w:jc w:val="center"/>
              <w:rPr>
                <w:rFonts w:ascii="Calibri" w:hAnsi="Calibri"/>
                <w:color w:val="000000"/>
                <w:sz w:val="20"/>
                <w:szCs w:val="20"/>
              </w:rPr>
            </w:pPr>
          </w:p>
        </w:tc>
        <w:tc>
          <w:tcPr>
            <w:tcW w:w="1134" w:type="dxa"/>
            <w:vAlign w:val="bottom"/>
          </w:tcPr>
          <w:p w:rsidR="00D51BB9" w:rsidRPr="004F1F8A" w:rsidRDefault="00D51BB9" w:rsidP="00A006F5">
            <w:pPr>
              <w:jc w:val="center"/>
              <w:rPr>
                <w:rFonts w:ascii="Calibri" w:hAnsi="Calibri"/>
                <w:color w:val="000000"/>
                <w:sz w:val="20"/>
                <w:szCs w:val="20"/>
              </w:rPr>
            </w:pPr>
            <w:r w:rsidRPr="004F1F8A">
              <w:rPr>
                <w:rFonts w:ascii="Calibri" w:hAnsi="Calibri"/>
                <w:color w:val="000000"/>
                <w:sz w:val="20"/>
                <w:szCs w:val="20"/>
              </w:rPr>
              <w:t>8.0</w:t>
            </w:r>
          </w:p>
        </w:tc>
        <w:tc>
          <w:tcPr>
            <w:tcW w:w="1134" w:type="dxa"/>
            <w:vAlign w:val="bottom"/>
          </w:tcPr>
          <w:p w:rsidR="00D51BB9" w:rsidRPr="004F1F8A" w:rsidRDefault="00D51BB9" w:rsidP="00A006F5">
            <w:pPr>
              <w:jc w:val="center"/>
              <w:rPr>
                <w:rFonts w:ascii="Calibri" w:hAnsi="Calibri"/>
                <w:color w:val="000000"/>
                <w:sz w:val="20"/>
                <w:szCs w:val="20"/>
              </w:rPr>
            </w:pPr>
            <w:r w:rsidRPr="004F1F8A">
              <w:rPr>
                <w:rFonts w:ascii="Calibri" w:hAnsi="Calibri"/>
                <w:color w:val="000000"/>
                <w:sz w:val="20"/>
                <w:szCs w:val="20"/>
              </w:rPr>
              <w:t>123.4</w:t>
            </w:r>
          </w:p>
        </w:tc>
      </w:tr>
      <w:tr w:rsidR="00D51BB9" w:rsidRPr="00724F7E" w:rsidTr="00D51BB9">
        <w:trPr>
          <w:trHeight w:val="254"/>
          <w:jc w:val="center"/>
        </w:trPr>
        <w:tc>
          <w:tcPr>
            <w:tcW w:w="1245" w:type="dxa"/>
            <w:vAlign w:val="center"/>
          </w:tcPr>
          <w:p w:rsidR="00D51BB9" w:rsidRDefault="00D51BB9" w:rsidP="00A006F5">
            <w:pPr>
              <w:rPr>
                <w:rFonts w:ascii="Calibri" w:hAnsi="Calibri"/>
                <w:color w:val="000000"/>
                <w:sz w:val="20"/>
                <w:szCs w:val="20"/>
              </w:rPr>
            </w:pPr>
            <w:r>
              <w:rPr>
                <w:rFonts w:ascii="Calibri" w:hAnsi="Calibri"/>
                <w:color w:val="000000"/>
                <w:sz w:val="20"/>
                <w:szCs w:val="20"/>
              </w:rPr>
              <w:t>France</w:t>
            </w:r>
          </w:p>
        </w:tc>
        <w:tc>
          <w:tcPr>
            <w:tcW w:w="236" w:type="dxa"/>
          </w:tcPr>
          <w:p w:rsidR="00D51BB9" w:rsidRPr="00724F7E" w:rsidRDefault="00D51BB9" w:rsidP="00A006F5">
            <w:pPr>
              <w:jc w:val="center"/>
              <w:rPr>
                <w:sz w:val="20"/>
                <w:szCs w:val="20"/>
              </w:rPr>
            </w:pPr>
          </w:p>
        </w:tc>
        <w:tc>
          <w:tcPr>
            <w:tcW w:w="1134" w:type="dxa"/>
            <w:vAlign w:val="bottom"/>
          </w:tcPr>
          <w:p w:rsidR="00D51BB9" w:rsidRPr="004F1F8A" w:rsidRDefault="00D51BB9" w:rsidP="00A006F5">
            <w:pPr>
              <w:jc w:val="center"/>
              <w:rPr>
                <w:rFonts w:ascii="Calibri" w:hAnsi="Calibri"/>
                <w:color w:val="000000"/>
                <w:sz w:val="20"/>
                <w:szCs w:val="20"/>
              </w:rPr>
            </w:pPr>
            <w:r w:rsidRPr="004F1F8A">
              <w:rPr>
                <w:rFonts w:ascii="Calibri" w:hAnsi="Calibri"/>
                <w:color w:val="000000"/>
                <w:sz w:val="20"/>
                <w:szCs w:val="20"/>
              </w:rPr>
              <w:t>7.4</w:t>
            </w:r>
          </w:p>
        </w:tc>
        <w:tc>
          <w:tcPr>
            <w:tcW w:w="1134" w:type="dxa"/>
            <w:vAlign w:val="bottom"/>
          </w:tcPr>
          <w:p w:rsidR="00D51BB9" w:rsidRPr="004F1F8A" w:rsidRDefault="00D51BB9" w:rsidP="00A006F5">
            <w:pPr>
              <w:jc w:val="center"/>
              <w:rPr>
                <w:rFonts w:ascii="Calibri" w:hAnsi="Calibri"/>
                <w:color w:val="000000"/>
                <w:sz w:val="20"/>
                <w:szCs w:val="20"/>
              </w:rPr>
            </w:pPr>
            <w:r w:rsidRPr="004F1F8A">
              <w:rPr>
                <w:rFonts w:ascii="Calibri" w:hAnsi="Calibri"/>
                <w:color w:val="000000"/>
                <w:sz w:val="20"/>
                <w:szCs w:val="20"/>
              </w:rPr>
              <w:t>91.5</w:t>
            </w:r>
          </w:p>
        </w:tc>
        <w:tc>
          <w:tcPr>
            <w:tcW w:w="236" w:type="dxa"/>
            <w:vAlign w:val="bottom"/>
          </w:tcPr>
          <w:p w:rsidR="00D51BB9" w:rsidRPr="004F1F8A" w:rsidRDefault="00D51BB9" w:rsidP="00A006F5">
            <w:pPr>
              <w:jc w:val="center"/>
              <w:rPr>
                <w:rFonts w:ascii="Calibri" w:hAnsi="Calibri"/>
                <w:color w:val="000000"/>
                <w:sz w:val="20"/>
                <w:szCs w:val="20"/>
              </w:rPr>
            </w:pPr>
          </w:p>
        </w:tc>
        <w:tc>
          <w:tcPr>
            <w:tcW w:w="1134" w:type="dxa"/>
            <w:vAlign w:val="bottom"/>
          </w:tcPr>
          <w:p w:rsidR="00D51BB9" w:rsidRPr="004F1F8A" w:rsidRDefault="00D51BB9" w:rsidP="00A006F5">
            <w:pPr>
              <w:jc w:val="center"/>
              <w:rPr>
                <w:rFonts w:ascii="Calibri" w:hAnsi="Calibri"/>
                <w:color w:val="000000"/>
                <w:sz w:val="20"/>
                <w:szCs w:val="20"/>
              </w:rPr>
            </w:pPr>
            <w:r w:rsidRPr="004F1F8A">
              <w:rPr>
                <w:rFonts w:ascii="Calibri" w:hAnsi="Calibri"/>
                <w:color w:val="000000"/>
                <w:sz w:val="20"/>
                <w:szCs w:val="20"/>
              </w:rPr>
              <w:t>-4.0</w:t>
            </w:r>
          </w:p>
        </w:tc>
        <w:tc>
          <w:tcPr>
            <w:tcW w:w="1134" w:type="dxa"/>
            <w:vAlign w:val="bottom"/>
          </w:tcPr>
          <w:p w:rsidR="00D51BB9" w:rsidRPr="004F1F8A" w:rsidRDefault="00D51BB9" w:rsidP="00A006F5">
            <w:pPr>
              <w:jc w:val="center"/>
              <w:rPr>
                <w:rFonts w:ascii="Calibri" w:hAnsi="Calibri"/>
                <w:color w:val="000000"/>
                <w:sz w:val="20"/>
                <w:szCs w:val="20"/>
              </w:rPr>
            </w:pPr>
            <w:r w:rsidRPr="004F1F8A">
              <w:rPr>
                <w:rFonts w:ascii="Calibri" w:hAnsi="Calibri"/>
                <w:color w:val="000000"/>
                <w:sz w:val="20"/>
                <w:szCs w:val="20"/>
              </w:rPr>
              <w:t>201.0</w:t>
            </w:r>
          </w:p>
        </w:tc>
        <w:tc>
          <w:tcPr>
            <w:tcW w:w="236" w:type="dxa"/>
            <w:vAlign w:val="bottom"/>
          </w:tcPr>
          <w:p w:rsidR="00D51BB9" w:rsidRPr="004F1F8A" w:rsidRDefault="00D51BB9" w:rsidP="00A006F5">
            <w:pPr>
              <w:jc w:val="center"/>
              <w:rPr>
                <w:rFonts w:ascii="Calibri" w:hAnsi="Calibri"/>
                <w:color w:val="000000"/>
                <w:sz w:val="20"/>
                <w:szCs w:val="20"/>
              </w:rPr>
            </w:pPr>
          </w:p>
        </w:tc>
        <w:tc>
          <w:tcPr>
            <w:tcW w:w="1134" w:type="dxa"/>
            <w:vAlign w:val="bottom"/>
          </w:tcPr>
          <w:p w:rsidR="00D51BB9" w:rsidRPr="004F1F8A" w:rsidRDefault="00D51BB9" w:rsidP="00A006F5">
            <w:pPr>
              <w:jc w:val="center"/>
              <w:rPr>
                <w:rFonts w:ascii="Calibri" w:hAnsi="Calibri"/>
                <w:color w:val="000000"/>
                <w:sz w:val="20"/>
                <w:szCs w:val="20"/>
              </w:rPr>
            </w:pPr>
            <w:r w:rsidRPr="004F1F8A">
              <w:rPr>
                <w:rFonts w:ascii="Calibri" w:hAnsi="Calibri"/>
                <w:color w:val="000000"/>
                <w:sz w:val="20"/>
                <w:szCs w:val="20"/>
              </w:rPr>
              <w:t>-2.9</w:t>
            </w:r>
          </w:p>
        </w:tc>
        <w:tc>
          <w:tcPr>
            <w:tcW w:w="1134" w:type="dxa"/>
            <w:vAlign w:val="bottom"/>
          </w:tcPr>
          <w:p w:rsidR="00D51BB9" w:rsidRPr="004F1F8A" w:rsidRDefault="00D51BB9" w:rsidP="00A006F5">
            <w:pPr>
              <w:jc w:val="center"/>
              <w:rPr>
                <w:rFonts w:ascii="Calibri" w:hAnsi="Calibri"/>
                <w:color w:val="000000"/>
                <w:sz w:val="20"/>
                <w:szCs w:val="20"/>
              </w:rPr>
            </w:pPr>
            <w:r w:rsidRPr="004F1F8A">
              <w:rPr>
                <w:rFonts w:ascii="Calibri" w:hAnsi="Calibri"/>
                <w:color w:val="000000"/>
                <w:sz w:val="20"/>
                <w:szCs w:val="20"/>
              </w:rPr>
              <w:t>163.8</w:t>
            </w:r>
          </w:p>
        </w:tc>
        <w:tc>
          <w:tcPr>
            <w:tcW w:w="236" w:type="dxa"/>
            <w:vAlign w:val="bottom"/>
          </w:tcPr>
          <w:p w:rsidR="00D51BB9" w:rsidRPr="004F1F8A" w:rsidRDefault="00D51BB9" w:rsidP="00A006F5">
            <w:pPr>
              <w:jc w:val="center"/>
              <w:rPr>
                <w:rFonts w:ascii="Calibri" w:hAnsi="Calibri"/>
                <w:color w:val="000000"/>
                <w:sz w:val="20"/>
                <w:szCs w:val="20"/>
              </w:rPr>
            </w:pPr>
          </w:p>
        </w:tc>
        <w:tc>
          <w:tcPr>
            <w:tcW w:w="1134" w:type="dxa"/>
            <w:vAlign w:val="bottom"/>
          </w:tcPr>
          <w:p w:rsidR="00D51BB9" w:rsidRPr="004F1F8A" w:rsidRDefault="00D51BB9" w:rsidP="00A006F5">
            <w:pPr>
              <w:jc w:val="center"/>
              <w:rPr>
                <w:rFonts w:ascii="Calibri" w:hAnsi="Calibri"/>
                <w:color w:val="000000"/>
                <w:sz w:val="20"/>
                <w:szCs w:val="20"/>
              </w:rPr>
            </w:pPr>
            <w:r w:rsidRPr="004F1F8A">
              <w:rPr>
                <w:rFonts w:ascii="Calibri" w:hAnsi="Calibri"/>
                <w:color w:val="000000"/>
                <w:sz w:val="20"/>
                <w:szCs w:val="20"/>
              </w:rPr>
              <w:t>6.5</w:t>
            </w:r>
          </w:p>
        </w:tc>
        <w:tc>
          <w:tcPr>
            <w:tcW w:w="1134" w:type="dxa"/>
            <w:vAlign w:val="bottom"/>
          </w:tcPr>
          <w:p w:rsidR="00D51BB9" w:rsidRPr="004F1F8A" w:rsidRDefault="00D51BB9" w:rsidP="00A006F5">
            <w:pPr>
              <w:jc w:val="center"/>
              <w:rPr>
                <w:rFonts w:ascii="Calibri" w:hAnsi="Calibri"/>
                <w:color w:val="000000"/>
                <w:sz w:val="20"/>
                <w:szCs w:val="20"/>
              </w:rPr>
            </w:pPr>
            <w:r w:rsidRPr="004F1F8A">
              <w:rPr>
                <w:rFonts w:ascii="Calibri" w:hAnsi="Calibri"/>
                <w:color w:val="000000"/>
                <w:sz w:val="20"/>
                <w:szCs w:val="20"/>
              </w:rPr>
              <w:t>115.3</w:t>
            </w:r>
          </w:p>
        </w:tc>
      </w:tr>
      <w:tr w:rsidR="00D51BB9" w:rsidRPr="00724F7E" w:rsidTr="00D51BB9">
        <w:trPr>
          <w:trHeight w:val="254"/>
          <w:jc w:val="center"/>
        </w:trPr>
        <w:tc>
          <w:tcPr>
            <w:tcW w:w="1245" w:type="dxa"/>
            <w:vAlign w:val="center"/>
          </w:tcPr>
          <w:p w:rsidR="00D51BB9" w:rsidRDefault="00D51BB9" w:rsidP="00A006F5">
            <w:pPr>
              <w:rPr>
                <w:rFonts w:ascii="Calibri" w:hAnsi="Calibri"/>
                <w:color w:val="000000"/>
                <w:sz w:val="20"/>
                <w:szCs w:val="20"/>
              </w:rPr>
            </w:pPr>
            <w:r>
              <w:rPr>
                <w:rFonts w:ascii="Calibri" w:hAnsi="Calibri"/>
                <w:color w:val="000000"/>
                <w:sz w:val="20"/>
                <w:szCs w:val="20"/>
              </w:rPr>
              <w:t>Austria</w:t>
            </w:r>
          </w:p>
        </w:tc>
        <w:tc>
          <w:tcPr>
            <w:tcW w:w="236" w:type="dxa"/>
          </w:tcPr>
          <w:p w:rsidR="00D51BB9" w:rsidRPr="00724F7E" w:rsidRDefault="00D51BB9" w:rsidP="00A006F5">
            <w:pPr>
              <w:jc w:val="center"/>
              <w:rPr>
                <w:sz w:val="20"/>
                <w:szCs w:val="20"/>
              </w:rPr>
            </w:pPr>
          </w:p>
        </w:tc>
        <w:tc>
          <w:tcPr>
            <w:tcW w:w="1134" w:type="dxa"/>
            <w:vAlign w:val="bottom"/>
          </w:tcPr>
          <w:p w:rsidR="00D51BB9" w:rsidRPr="004F1F8A" w:rsidRDefault="00D51BB9" w:rsidP="00A006F5">
            <w:pPr>
              <w:jc w:val="center"/>
              <w:rPr>
                <w:rFonts w:ascii="Calibri" w:hAnsi="Calibri"/>
                <w:color w:val="000000"/>
                <w:sz w:val="20"/>
                <w:szCs w:val="20"/>
              </w:rPr>
            </w:pPr>
            <w:r w:rsidRPr="004F1F8A">
              <w:rPr>
                <w:rFonts w:ascii="Calibri" w:hAnsi="Calibri"/>
                <w:color w:val="000000"/>
                <w:sz w:val="20"/>
                <w:szCs w:val="20"/>
              </w:rPr>
              <w:t>12.8</w:t>
            </w:r>
          </w:p>
        </w:tc>
        <w:tc>
          <w:tcPr>
            <w:tcW w:w="1134" w:type="dxa"/>
            <w:vAlign w:val="bottom"/>
          </w:tcPr>
          <w:p w:rsidR="00D51BB9" w:rsidRPr="004F1F8A" w:rsidRDefault="00D51BB9" w:rsidP="00A006F5">
            <w:pPr>
              <w:jc w:val="center"/>
              <w:rPr>
                <w:rFonts w:ascii="Calibri" w:hAnsi="Calibri"/>
                <w:color w:val="000000"/>
                <w:sz w:val="20"/>
                <w:szCs w:val="20"/>
              </w:rPr>
            </w:pPr>
            <w:r w:rsidRPr="004F1F8A">
              <w:rPr>
                <w:rFonts w:ascii="Calibri" w:hAnsi="Calibri"/>
                <w:color w:val="000000"/>
                <w:sz w:val="20"/>
                <w:szCs w:val="20"/>
              </w:rPr>
              <w:t>98.1</w:t>
            </w:r>
          </w:p>
        </w:tc>
        <w:tc>
          <w:tcPr>
            <w:tcW w:w="236" w:type="dxa"/>
            <w:vAlign w:val="bottom"/>
          </w:tcPr>
          <w:p w:rsidR="00D51BB9" w:rsidRPr="004F1F8A" w:rsidRDefault="00D51BB9" w:rsidP="00A006F5">
            <w:pPr>
              <w:jc w:val="center"/>
              <w:rPr>
                <w:rFonts w:ascii="Calibri" w:hAnsi="Calibri"/>
                <w:color w:val="000000"/>
                <w:sz w:val="20"/>
                <w:szCs w:val="20"/>
              </w:rPr>
            </w:pPr>
          </w:p>
        </w:tc>
        <w:tc>
          <w:tcPr>
            <w:tcW w:w="1134" w:type="dxa"/>
            <w:vAlign w:val="bottom"/>
          </w:tcPr>
          <w:p w:rsidR="00D51BB9" w:rsidRPr="004F1F8A" w:rsidRDefault="00D51BB9" w:rsidP="00A006F5">
            <w:pPr>
              <w:jc w:val="center"/>
              <w:rPr>
                <w:rFonts w:ascii="Calibri" w:hAnsi="Calibri"/>
                <w:color w:val="000000"/>
                <w:sz w:val="20"/>
                <w:szCs w:val="20"/>
              </w:rPr>
            </w:pPr>
            <w:r w:rsidRPr="004F1F8A">
              <w:rPr>
                <w:rFonts w:ascii="Calibri" w:hAnsi="Calibri"/>
                <w:color w:val="000000"/>
                <w:sz w:val="20"/>
                <w:szCs w:val="20"/>
              </w:rPr>
              <w:t>-6.9</w:t>
            </w:r>
          </w:p>
        </w:tc>
        <w:tc>
          <w:tcPr>
            <w:tcW w:w="1134" w:type="dxa"/>
            <w:vAlign w:val="bottom"/>
          </w:tcPr>
          <w:p w:rsidR="00D51BB9" w:rsidRPr="004F1F8A" w:rsidRDefault="00D51BB9" w:rsidP="00A006F5">
            <w:pPr>
              <w:jc w:val="center"/>
              <w:rPr>
                <w:rFonts w:ascii="Calibri" w:hAnsi="Calibri"/>
                <w:color w:val="000000"/>
                <w:sz w:val="20"/>
                <w:szCs w:val="20"/>
              </w:rPr>
            </w:pPr>
            <w:r w:rsidRPr="004F1F8A">
              <w:rPr>
                <w:rFonts w:ascii="Calibri" w:hAnsi="Calibri"/>
                <w:color w:val="000000"/>
                <w:sz w:val="20"/>
                <w:szCs w:val="20"/>
              </w:rPr>
              <w:t>246.0</w:t>
            </w:r>
          </w:p>
        </w:tc>
        <w:tc>
          <w:tcPr>
            <w:tcW w:w="236" w:type="dxa"/>
            <w:vAlign w:val="bottom"/>
          </w:tcPr>
          <w:p w:rsidR="00D51BB9" w:rsidRPr="004F1F8A" w:rsidRDefault="00D51BB9" w:rsidP="00A006F5">
            <w:pPr>
              <w:jc w:val="center"/>
              <w:rPr>
                <w:rFonts w:ascii="Calibri" w:hAnsi="Calibri"/>
                <w:color w:val="000000"/>
                <w:sz w:val="20"/>
                <w:szCs w:val="20"/>
              </w:rPr>
            </w:pPr>
          </w:p>
        </w:tc>
        <w:tc>
          <w:tcPr>
            <w:tcW w:w="1134" w:type="dxa"/>
            <w:vAlign w:val="bottom"/>
          </w:tcPr>
          <w:p w:rsidR="00D51BB9" w:rsidRPr="004F1F8A" w:rsidRDefault="00D51BB9" w:rsidP="00A006F5">
            <w:pPr>
              <w:jc w:val="center"/>
              <w:rPr>
                <w:rFonts w:ascii="Calibri" w:hAnsi="Calibri"/>
                <w:color w:val="000000"/>
                <w:sz w:val="20"/>
                <w:szCs w:val="20"/>
              </w:rPr>
            </w:pPr>
            <w:r w:rsidRPr="004F1F8A">
              <w:rPr>
                <w:rFonts w:ascii="Calibri" w:hAnsi="Calibri"/>
                <w:color w:val="000000"/>
                <w:sz w:val="20"/>
                <w:szCs w:val="20"/>
              </w:rPr>
              <w:t>-4.0</w:t>
            </w:r>
          </w:p>
        </w:tc>
        <w:tc>
          <w:tcPr>
            <w:tcW w:w="1134" w:type="dxa"/>
            <w:vAlign w:val="bottom"/>
          </w:tcPr>
          <w:p w:rsidR="00D51BB9" w:rsidRPr="004F1F8A" w:rsidRDefault="00D51BB9" w:rsidP="00A006F5">
            <w:pPr>
              <w:jc w:val="center"/>
              <w:rPr>
                <w:rFonts w:ascii="Calibri" w:hAnsi="Calibri"/>
                <w:color w:val="000000"/>
                <w:sz w:val="20"/>
                <w:szCs w:val="20"/>
              </w:rPr>
            </w:pPr>
            <w:r w:rsidRPr="004F1F8A">
              <w:rPr>
                <w:rFonts w:ascii="Calibri" w:hAnsi="Calibri"/>
                <w:color w:val="000000"/>
                <w:sz w:val="20"/>
                <w:szCs w:val="20"/>
              </w:rPr>
              <w:t>165.4</w:t>
            </w:r>
          </w:p>
        </w:tc>
        <w:tc>
          <w:tcPr>
            <w:tcW w:w="236" w:type="dxa"/>
            <w:vAlign w:val="bottom"/>
          </w:tcPr>
          <w:p w:rsidR="00D51BB9" w:rsidRPr="004F1F8A" w:rsidRDefault="00D51BB9" w:rsidP="00A006F5">
            <w:pPr>
              <w:jc w:val="center"/>
              <w:rPr>
                <w:rFonts w:ascii="Calibri" w:hAnsi="Calibri"/>
                <w:color w:val="000000"/>
                <w:sz w:val="20"/>
                <w:szCs w:val="20"/>
              </w:rPr>
            </w:pPr>
          </w:p>
        </w:tc>
        <w:tc>
          <w:tcPr>
            <w:tcW w:w="1134" w:type="dxa"/>
            <w:vAlign w:val="bottom"/>
          </w:tcPr>
          <w:p w:rsidR="00D51BB9" w:rsidRPr="004F1F8A" w:rsidRDefault="00D51BB9" w:rsidP="00A006F5">
            <w:pPr>
              <w:jc w:val="center"/>
              <w:rPr>
                <w:rFonts w:ascii="Calibri" w:hAnsi="Calibri"/>
                <w:color w:val="000000"/>
                <w:sz w:val="20"/>
                <w:szCs w:val="20"/>
              </w:rPr>
            </w:pPr>
            <w:r w:rsidRPr="004F1F8A">
              <w:rPr>
                <w:rFonts w:ascii="Calibri" w:hAnsi="Calibri"/>
                <w:color w:val="000000"/>
                <w:sz w:val="20"/>
                <w:szCs w:val="20"/>
              </w:rPr>
              <w:t>6.4</w:t>
            </w:r>
          </w:p>
        </w:tc>
        <w:tc>
          <w:tcPr>
            <w:tcW w:w="1134" w:type="dxa"/>
            <w:vAlign w:val="bottom"/>
          </w:tcPr>
          <w:p w:rsidR="00D51BB9" w:rsidRPr="004F1F8A" w:rsidRDefault="00D51BB9" w:rsidP="00A006F5">
            <w:pPr>
              <w:jc w:val="center"/>
              <w:rPr>
                <w:rFonts w:ascii="Calibri" w:hAnsi="Calibri"/>
                <w:color w:val="000000"/>
                <w:sz w:val="20"/>
                <w:szCs w:val="20"/>
              </w:rPr>
            </w:pPr>
            <w:r w:rsidRPr="004F1F8A">
              <w:rPr>
                <w:rFonts w:ascii="Calibri" w:hAnsi="Calibri"/>
                <w:color w:val="000000"/>
                <w:sz w:val="20"/>
                <w:szCs w:val="20"/>
              </w:rPr>
              <w:t>118.4</w:t>
            </w:r>
          </w:p>
        </w:tc>
      </w:tr>
      <w:tr w:rsidR="00D51BB9" w:rsidRPr="00724F7E" w:rsidTr="00D51BB9">
        <w:trPr>
          <w:trHeight w:val="254"/>
          <w:jc w:val="center"/>
        </w:trPr>
        <w:tc>
          <w:tcPr>
            <w:tcW w:w="1245" w:type="dxa"/>
            <w:vAlign w:val="center"/>
          </w:tcPr>
          <w:p w:rsidR="00D51BB9" w:rsidRDefault="00D51BB9" w:rsidP="00A006F5">
            <w:pPr>
              <w:rPr>
                <w:rFonts w:ascii="Calibri" w:hAnsi="Calibri"/>
                <w:color w:val="000000"/>
                <w:sz w:val="20"/>
                <w:szCs w:val="20"/>
              </w:rPr>
            </w:pPr>
            <w:r>
              <w:rPr>
                <w:rFonts w:ascii="Calibri" w:hAnsi="Calibri"/>
                <w:color w:val="000000"/>
                <w:sz w:val="20"/>
                <w:szCs w:val="20"/>
              </w:rPr>
              <w:t>Belgium</w:t>
            </w:r>
          </w:p>
        </w:tc>
        <w:tc>
          <w:tcPr>
            <w:tcW w:w="236" w:type="dxa"/>
          </w:tcPr>
          <w:p w:rsidR="00D51BB9" w:rsidRPr="00724F7E" w:rsidRDefault="00D51BB9" w:rsidP="00A006F5">
            <w:pPr>
              <w:jc w:val="center"/>
              <w:rPr>
                <w:sz w:val="20"/>
                <w:szCs w:val="20"/>
              </w:rPr>
            </w:pPr>
          </w:p>
        </w:tc>
        <w:tc>
          <w:tcPr>
            <w:tcW w:w="1134" w:type="dxa"/>
            <w:vAlign w:val="bottom"/>
          </w:tcPr>
          <w:p w:rsidR="00D51BB9" w:rsidRPr="004F1F8A" w:rsidRDefault="00D51BB9" w:rsidP="00A006F5">
            <w:pPr>
              <w:jc w:val="center"/>
              <w:rPr>
                <w:rFonts w:ascii="Calibri" w:hAnsi="Calibri"/>
                <w:color w:val="000000"/>
                <w:sz w:val="20"/>
                <w:szCs w:val="20"/>
              </w:rPr>
            </w:pPr>
            <w:r w:rsidRPr="004F1F8A">
              <w:rPr>
                <w:rFonts w:ascii="Calibri" w:hAnsi="Calibri"/>
                <w:color w:val="000000"/>
                <w:sz w:val="20"/>
                <w:szCs w:val="20"/>
              </w:rPr>
              <w:t>9.0</w:t>
            </w:r>
          </w:p>
        </w:tc>
        <w:tc>
          <w:tcPr>
            <w:tcW w:w="1134" w:type="dxa"/>
            <w:vAlign w:val="bottom"/>
          </w:tcPr>
          <w:p w:rsidR="00D51BB9" w:rsidRPr="004F1F8A" w:rsidRDefault="00D51BB9" w:rsidP="00A006F5">
            <w:pPr>
              <w:jc w:val="center"/>
              <w:rPr>
                <w:rFonts w:ascii="Calibri" w:hAnsi="Calibri"/>
                <w:color w:val="000000"/>
                <w:sz w:val="20"/>
                <w:szCs w:val="20"/>
              </w:rPr>
            </w:pPr>
            <w:r w:rsidRPr="004F1F8A">
              <w:rPr>
                <w:rFonts w:ascii="Calibri" w:hAnsi="Calibri"/>
                <w:color w:val="000000"/>
                <w:sz w:val="20"/>
                <w:szCs w:val="20"/>
              </w:rPr>
              <w:t>78.6</w:t>
            </w:r>
          </w:p>
        </w:tc>
        <w:tc>
          <w:tcPr>
            <w:tcW w:w="236" w:type="dxa"/>
            <w:vAlign w:val="bottom"/>
          </w:tcPr>
          <w:p w:rsidR="00D51BB9" w:rsidRPr="004F1F8A" w:rsidRDefault="00D51BB9" w:rsidP="00A006F5">
            <w:pPr>
              <w:jc w:val="center"/>
              <w:rPr>
                <w:rFonts w:ascii="Calibri" w:hAnsi="Calibri"/>
                <w:color w:val="000000"/>
                <w:sz w:val="20"/>
                <w:szCs w:val="20"/>
              </w:rPr>
            </w:pPr>
          </w:p>
        </w:tc>
        <w:tc>
          <w:tcPr>
            <w:tcW w:w="1134" w:type="dxa"/>
            <w:vAlign w:val="bottom"/>
          </w:tcPr>
          <w:p w:rsidR="00D51BB9" w:rsidRPr="004F1F8A" w:rsidRDefault="00D51BB9" w:rsidP="00A006F5">
            <w:pPr>
              <w:jc w:val="center"/>
              <w:rPr>
                <w:rFonts w:ascii="Calibri" w:hAnsi="Calibri"/>
                <w:color w:val="000000"/>
                <w:sz w:val="20"/>
                <w:szCs w:val="20"/>
              </w:rPr>
            </w:pPr>
            <w:r w:rsidRPr="004F1F8A">
              <w:rPr>
                <w:rFonts w:ascii="Calibri" w:hAnsi="Calibri"/>
                <w:color w:val="000000"/>
                <w:sz w:val="20"/>
                <w:szCs w:val="20"/>
              </w:rPr>
              <w:t>-7.1</w:t>
            </w:r>
          </w:p>
        </w:tc>
        <w:tc>
          <w:tcPr>
            <w:tcW w:w="1134" w:type="dxa"/>
            <w:vAlign w:val="bottom"/>
          </w:tcPr>
          <w:p w:rsidR="00D51BB9" w:rsidRPr="004F1F8A" w:rsidRDefault="00D51BB9" w:rsidP="00A006F5">
            <w:pPr>
              <w:jc w:val="center"/>
              <w:rPr>
                <w:rFonts w:ascii="Calibri" w:hAnsi="Calibri"/>
                <w:color w:val="000000"/>
                <w:sz w:val="20"/>
                <w:szCs w:val="20"/>
              </w:rPr>
            </w:pPr>
            <w:r w:rsidRPr="004F1F8A">
              <w:rPr>
                <w:rFonts w:ascii="Calibri" w:hAnsi="Calibri"/>
                <w:color w:val="000000"/>
                <w:sz w:val="20"/>
                <w:szCs w:val="20"/>
              </w:rPr>
              <w:t>184.8</w:t>
            </w:r>
          </w:p>
        </w:tc>
        <w:tc>
          <w:tcPr>
            <w:tcW w:w="236" w:type="dxa"/>
            <w:vAlign w:val="bottom"/>
          </w:tcPr>
          <w:p w:rsidR="00D51BB9" w:rsidRPr="004F1F8A" w:rsidRDefault="00D51BB9" w:rsidP="00A006F5">
            <w:pPr>
              <w:jc w:val="center"/>
              <w:rPr>
                <w:rFonts w:ascii="Calibri" w:hAnsi="Calibri"/>
                <w:color w:val="000000"/>
                <w:sz w:val="20"/>
                <w:szCs w:val="20"/>
              </w:rPr>
            </w:pPr>
          </w:p>
        </w:tc>
        <w:tc>
          <w:tcPr>
            <w:tcW w:w="1134" w:type="dxa"/>
            <w:vAlign w:val="bottom"/>
          </w:tcPr>
          <w:p w:rsidR="00D51BB9" w:rsidRPr="004F1F8A" w:rsidRDefault="00D51BB9" w:rsidP="00A006F5">
            <w:pPr>
              <w:jc w:val="center"/>
              <w:rPr>
                <w:rFonts w:ascii="Calibri" w:hAnsi="Calibri"/>
                <w:color w:val="000000"/>
                <w:sz w:val="20"/>
                <w:szCs w:val="20"/>
              </w:rPr>
            </w:pPr>
            <w:r w:rsidRPr="004F1F8A">
              <w:rPr>
                <w:rFonts w:ascii="Calibri" w:hAnsi="Calibri"/>
                <w:color w:val="000000"/>
                <w:sz w:val="20"/>
                <w:szCs w:val="20"/>
              </w:rPr>
              <w:t>-2.6</w:t>
            </w:r>
          </w:p>
        </w:tc>
        <w:tc>
          <w:tcPr>
            <w:tcW w:w="1134" w:type="dxa"/>
            <w:vAlign w:val="bottom"/>
          </w:tcPr>
          <w:p w:rsidR="00D51BB9" w:rsidRPr="004F1F8A" w:rsidRDefault="00D51BB9" w:rsidP="00A006F5">
            <w:pPr>
              <w:jc w:val="center"/>
              <w:rPr>
                <w:rFonts w:ascii="Calibri" w:hAnsi="Calibri"/>
                <w:color w:val="000000"/>
                <w:sz w:val="20"/>
                <w:szCs w:val="20"/>
              </w:rPr>
            </w:pPr>
            <w:r w:rsidRPr="004F1F8A">
              <w:rPr>
                <w:rFonts w:ascii="Calibri" w:hAnsi="Calibri"/>
                <w:color w:val="000000"/>
                <w:sz w:val="20"/>
                <w:szCs w:val="20"/>
              </w:rPr>
              <w:t>140.5</w:t>
            </w:r>
          </w:p>
        </w:tc>
        <w:tc>
          <w:tcPr>
            <w:tcW w:w="236" w:type="dxa"/>
            <w:vAlign w:val="bottom"/>
          </w:tcPr>
          <w:p w:rsidR="00D51BB9" w:rsidRPr="004F1F8A" w:rsidRDefault="00D51BB9" w:rsidP="00A006F5">
            <w:pPr>
              <w:jc w:val="center"/>
              <w:rPr>
                <w:rFonts w:ascii="Calibri" w:hAnsi="Calibri"/>
                <w:color w:val="000000"/>
                <w:sz w:val="20"/>
                <w:szCs w:val="20"/>
              </w:rPr>
            </w:pPr>
          </w:p>
        </w:tc>
        <w:tc>
          <w:tcPr>
            <w:tcW w:w="1134" w:type="dxa"/>
            <w:vAlign w:val="bottom"/>
          </w:tcPr>
          <w:p w:rsidR="00D51BB9" w:rsidRPr="004F1F8A" w:rsidRDefault="00D51BB9" w:rsidP="00A006F5">
            <w:pPr>
              <w:jc w:val="center"/>
              <w:rPr>
                <w:rFonts w:ascii="Calibri" w:hAnsi="Calibri"/>
                <w:color w:val="000000"/>
                <w:sz w:val="20"/>
                <w:szCs w:val="20"/>
              </w:rPr>
            </w:pPr>
            <w:r w:rsidRPr="004F1F8A">
              <w:rPr>
                <w:rFonts w:ascii="Calibri" w:hAnsi="Calibri"/>
                <w:color w:val="000000"/>
                <w:sz w:val="20"/>
                <w:szCs w:val="20"/>
              </w:rPr>
              <w:t>7.0</w:t>
            </w:r>
          </w:p>
        </w:tc>
        <w:tc>
          <w:tcPr>
            <w:tcW w:w="1134" w:type="dxa"/>
            <w:vAlign w:val="bottom"/>
          </w:tcPr>
          <w:p w:rsidR="00D51BB9" w:rsidRPr="004F1F8A" w:rsidRDefault="00D51BB9" w:rsidP="00A006F5">
            <w:pPr>
              <w:jc w:val="center"/>
              <w:rPr>
                <w:rFonts w:ascii="Calibri" w:hAnsi="Calibri"/>
                <w:color w:val="000000"/>
                <w:sz w:val="20"/>
                <w:szCs w:val="20"/>
              </w:rPr>
            </w:pPr>
            <w:r w:rsidRPr="004F1F8A">
              <w:rPr>
                <w:rFonts w:ascii="Calibri" w:hAnsi="Calibri"/>
                <w:color w:val="000000"/>
                <w:sz w:val="20"/>
                <w:szCs w:val="20"/>
              </w:rPr>
              <w:t>97.5</w:t>
            </w:r>
          </w:p>
        </w:tc>
      </w:tr>
      <w:tr w:rsidR="00D51BB9" w:rsidRPr="00724F7E" w:rsidTr="00D51BB9">
        <w:trPr>
          <w:trHeight w:val="254"/>
          <w:jc w:val="center"/>
        </w:trPr>
        <w:tc>
          <w:tcPr>
            <w:tcW w:w="1245" w:type="dxa"/>
            <w:vAlign w:val="center"/>
          </w:tcPr>
          <w:p w:rsidR="00D51BB9" w:rsidRDefault="00D51BB9" w:rsidP="00A006F5">
            <w:pPr>
              <w:rPr>
                <w:rFonts w:ascii="Calibri" w:hAnsi="Calibri"/>
                <w:color w:val="000000"/>
                <w:sz w:val="20"/>
                <w:szCs w:val="20"/>
              </w:rPr>
            </w:pPr>
            <w:r>
              <w:rPr>
                <w:rFonts w:ascii="Calibri" w:hAnsi="Calibri"/>
                <w:color w:val="000000"/>
                <w:sz w:val="20"/>
                <w:szCs w:val="20"/>
              </w:rPr>
              <w:t>Italy</w:t>
            </w:r>
          </w:p>
        </w:tc>
        <w:tc>
          <w:tcPr>
            <w:tcW w:w="236" w:type="dxa"/>
          </w:tcPr>
          <w:p w:rsidR="00D51BB9" w:rsidRPr="00724F7E" w:rsidRDefault="00D51BB9" w:rsidP="00A006F5">
            <w:pPr>
              <w:jc w:val="center"/>
              <w:rPr>
                <w:sz w:val="20"/>
                <w:szCs w:val="20"/>
              </w:rPr>
            </w:pPr>
          </w:p>
        </w:tc>
        <w:tc>
          <w:tcPr>
            <w:tcW w:w="1134" w:type="dxa"/>
            <w:vAlign w:val="bottom"/>
          </w:tcPr>
          <w:p w:rsidR="00D51BB9" w:rsidRPr="004F1F8A" w:rsidRDefault="00D51BB9" w:rsidP="00A006F5">
            <w:pPr>
              <w:jc w:val="center"/>
              <w:rPr>
                <w:rFonts w:ascii="Calibri" w:hAnsi="Calibri"/>
                <w:color w:val="000000"/>
                <w:sz w:val="20"/>
                <w:szCs w:val="20"/>
              </w:rPr>
            </w:pPr>
            <w:r w:rsidRPr="004F1F8A">
              <w:rPr>
                <w:rFonts w:ascii="Calibri" w:hAnsi="Calibri"/>
                <w:color w:val="000000"/>
                <w:sz w:val="20"/>
                <w:szCs w:val="20"/>
              </w:rPr>
              <w:t>5.8</w:t>
            </w:r>
          </w:p>
        </w:tc>
        <w:tc>
          <w:tcPr>
            <w:tcW w:w="1134" w:type="dxa"/>
            <w:vAlign w:val="bottom"/>
          </w:tcPr>
          <w:p w:rsidR="00D51BB9" w:rsidRPr="004F1F8A" w:rsidRDefault="00D51BB9" w:rsidP="00A006F5">
            <w:pPr>
              <w:jc w:val="center"/>
              <w:rPr>
                <w:rFonts w:ascii="Calibri" w:hAnsi="Calibri"/>
                <w:color w:val="000000"/>
                <w:sz w:val="20"/>
                <w:szCs w:val="20"/>
              </w:rPr>
            </w:pPr>
            <w:r w:rsidRPr="004F1F8A">
              <w:rPr>
                <w:rFonts w:ascii="Calibri" w:hAnsi="Calibri"/>
                <w:color w:val="000000"/>
                <w:sz w:val="20"/>
                <w:szCs w:val="20"/>
              </w:rPr>
              <w:t>77.0</w:t>
            </w:r>
          </w:p>
        </w:tc>
        <w:tc>
          <w:tcPr>
            <w:tcW w:w="236" w:type="dxa"/>
            <w:vAlign w:val="bottom"/>
          </w:tcPr>
          <w:p w:rsidR="00D51BB9" w:rsidRPr="004F1F8A" w:rsidRDefault="00D51BB9" w:rsidP="00A006F5">
            <w:pPr>
              <w:jc w:val="center"/>
              <w:rPr>
                <w:rFonts w:ascii="Calibri" w:hAnsi="Calibri"/>
                <w:color w:val="000000"/>
                <w:sz w:val="20"/>
                <w:szCs w:val="20"/>
              </w:rPr>
            </w:pPr>
          </w:p>
        </w:tc>
        <w:tc>
          <w:tcPr>
            <w:tcW w:w="1134" w:type="dxa"/>
            <w:vAlign w:val="bottom"/>
          </w:tcPr>
          <w:p w:rsidR="00D51BB9" w:rsidRPr="004F1F8A" w:rsidRDefault="00D51BB9" w:rsidP="00A006F5">
            <w:pPr>
              <w:jc w:val="center"/>
              <w:rPr>
                <w:rFonts w:ascii="Calibri" w:hAnsi="Calibri"/>
                <w:color w:val="000000"/>
                <w:sz w:val="20"/>
                <w:szCs w:val="20"/>
              </w:rPr>
            </w:pPr>
            <w:r w:rsidRPr="004F1F8A">
              <w:rPr>
                <w:rFonts w:ascii="Calibri" w:hAnsi="Calibri"/>
                <w:color w:val="000000"/>
                <w:sz w:val="20"/>
                <w:szCs w:val="20"/>
              </w:rPr>
              <w:t>-6.7</w:t>
            </w:r>
          </w:p>
        </w:tc>
        <w:tc>
          <w:tcPr>
            <w:tcW w:w="1134" w:type="dxa"/>
            <w:vAlign w:val="bottom"/>
          </w:tcPr>
          <w:p w:rsidR="00D51BB9" w:rsidRPr="004F1F8A" w:rsidRDefault="00D51BB9" w:rsidP="00A006F5">
            <w:pPr>
              <w:jc w:val="center"/>
              <w:rPr>
                <w:rFonts w:ascii="Calibri" w:hAnsi="Calibri"/>
                <w:color w:val="000000"/>
                <w:sz w:val="20"/>
                <w:szCs w:val="20"/>
              </w:rPr>
            </w:pPr>
            <w:r w:rsidRPr="004F1F8A">
              <w:rPr>
                <w:rFonts w:ascii="Calibri" w:hAnsi="Calibri"/>
                <w:color w:val="000000"/>
                <w:sz w:val="20"/>
                <w:szCs w:val="20"/>
              </w:rPr>
              <w:t>201.1</w:t>
            </w:r>
          </w:p>
        </w:tc>
        <w:tc>
          <w:tcPr>
            <w:tcW w:w="236" w:type="dxa"/>
            <w:vAlign w:val="bottom"/>
          </w:tcPr>
          <w:p w:rsidR="00D51BB9" w:rsidRPr="004F1F8A" w:rsidRDefault="00D51BB9" w:rsidP="00A006F5">
            <w:pPr>
              <w:jc w:val="center"/>
              <w:rPr>
                <w:rFonts w:ascii="Calibri" w:hAnsi="Calibri"/>
                <w:color w:val="000000"/>
                <w:sz w:val="20"/>
                <w:szCs w:val="20"/>
              </w:rPr>
            </w:pPr>
          </w:p>
        </w:tc>
        <w:tc>
          <w:tcPr>
            <w:tcW w:w="1134" w:type="dxa"/>
            <w:vAlign w:val="bottom"/>
          </w:tcPr>
          <w:p w:rsidR="00D51BB9" w:rsidRPr="004F1F8A" w:rsidRDefault="00D51BB9" w:rsidP="00A006F5">
            <w:pPr>
              <w:jc w:val="center"/>
              <w:rPr>
                <w:rFonts w:ascii="Calibri" w:hAnsi="Calibri"/>
                <w:color w:val="000000"/>
                <w:sz w:val="20"/>
                <w:szCs w:val="20"/>
              </w:rPr>
            </w:pPr>
            <w:r w:rsidRPr="004F1F8A">
              <w:rPr>
                <w:rFonts w:ascii="Calibri" w:hAnsi="Calibri"/>
                <w:color w:val="000000"/>
                <w:sz w:val="20"/>
                <w:szCs w:val="20"/>
              </w:rPr>
              <w:t>-6.6</w:t>
            </w:r>
          </w:p>
        </w:tc>
        <w:tc>
          <w:tcPr>
            <w:tcW w:w="1134" w:type="dxa"/>
            <w:vAlign w:val="bottom"/>
          </w:tcPr>
          <w:p w:rsidR="00D51BB9" w:rsidRPr="004F1F8A" w:rsidRDefault="00D51BB9" w:rsidP="00A006F5">
            <w:pPr>
              <w:jc w:val="center"/>
              <w:rPr>
                <w:rFonts w:ascii="Calibri" w:hAnsi="Calibri"/>
                <w:color w:val="000000"/>
                <w:sz w:val="20"/>
                <w:szCs w:val="20"/>
              </w:rPr>
            </w:pPr>
            <w:r w:rsidRPr="004F1F8A">
              <w:rPr>
                <w:rFonts w:ascii="Calibri" w:hAnsi="Calibri"/>
                <w:color w:val="000000"/>
                <w:sz w:val="20"/>
                <w:szCs w:val="20"/>
              </w:rPr>
              <w:t>185.2</w:t>
            </w:r>
          </w:p>
        </w:tc>
        <w:tc>
          <w:tcPr>
            <w:tcW w:w="236" w:type="dxa"/>
            <w:vAlign w:val="bottom"/>
          </w:tcPr>
          <w:p w:rsidR="00D51BB9" w:rsidRPr="004F1F8A" w:rsidRDefault="00D51BB9" w:rsidP="00A006F5">
            <w:pPr>
              <w:jc w:val="center"/>
              <w:rPr>
                <w:rFonts w:ascii="Calibri" w:hAnsi="Calibri"/>
                <w:color w:val="000000"/>
                <w:sz w:val="20"/>
                <w:szCs w:val="20"/>
              </w:rPr>
            </w:pPr>
          </w:p>
        </w:tc>
        <w:tc>
          <w:tcPr>
            <w:tcW w:w="1134" w:type="dxa"/>
            <w:vAlign w:val="bottom"/>
          </w:tcPr>
          <w:p w:rsidR="00D51BB9" w:rsidRPr="004F1F8A" w:rsidRDefault="00D51BB9" w:rsidP="00A006F5">
            <w:pPr>
              <w:jc w:val="center"/>
              <w:rPr>
                <w:rFonts w:ascii="Calibri" w:hAnsi="Calibri"/>
                <w:color w:val="000000"/>
                <w:sz w:val="20"/>
                <w:szCs w:val="20"/>
              </w:rPr>
            </w:pPr>
            <w:r w:rsidRPr="004F1F8A">
              <w:rPr>
                <w:rFonts w:ascii="Calibri" w:hAnsi="Calibri"/>
                <w:color w:val="000000"/>
                <w:sz w:val="20"/>
                <w:szCs w:val="20"/>
              </w:rPr>
              <w:t>5.6</w:t>
            </w:r>
          </w:p>
        </w:tc>
        <w:tc>
          <w:tcPr>
            <w:tcW w:w="1134" w:type="dxa"/>
            <w:vAlign w:val="bottom"/>
          </w:tcPr>
          <w:p w:rsidR="00D51BB9" w:rsidRPr="004F1F8A" w:rsidRDefault="00D51BB9" w:rsidP="00A006F5">
            <w:pPr>
              <w:jc w:val="center"/>
              <w:rPr>
                <w:rFonts w:ascii="Calibri" w:hAnsi="Calibri"/>
                <w:color w:val="000000"/>
                <w:sz w:val="20"/>
                <w:szCs w:val="20"/>
              </w:rPr>
            </w:pPr>
            <w:r w:rsidRPr="004F1F8A">
              <w:rPr>
                <w:rFonts w:ascii="Calibri" w:hAnsi="Calibri"/>
                <w:color w:val="000000"/>
                <w:sz w:val="20"/>
                <w:szCs w:val="20"/>
              </w:rPr>
              <w:t>154.2</w:t>
            </w:r>
          </w:p>
        </w:tc>
      </w:tr>
      <w:tr w:rsidR="00D51BB9" w:rsidRPr="00724F7E" w:rsidTr="00D51BB9">
        <w:trPr>
          <w:trHeight w:val="254"/>
          <w:jc w:val="center"/>
        </w:trPr>
        <w:tc>
          <w:tcPr>
            <w:tcW w:w="1245" w:type="dxa"/>
            <w:vAlign w:val="center"/>
          </w:tcPr>
          <w:p w:rsidR="00D51BB9" w:rsidRDefault="00D51BB9" w:rsidP="00A006F5">
            <w:pPr>
              <w:rPr>
                <w:rFonts w:ascii="Calibri" w:hAnsi="Calibri"/>
                <w:color w:val="000000"/>
                <w:sz w:val="20"/>
                <w:szCs w:val="20"/>
              </w:rPr>
            </w:pPr>
            <w:r>
              <w:rPr>
                <w:rFonts w:ascii="Calibri" w:hAnsi="Calibri"/>
                <w:color w:val="000000"/>
                <w:sz w:val="20"/>
                <w:szCs w:val="20"/>
              </w:rPr>
              <w:t>Spain</w:t>
            </w:r>
          </w:p>
        </w:tc>
        <w:tc>
          <w:tcPr>
            <w:tcW w:w="236" w:type="dxa"/>
          </w:tcPr>
          <w:p w:rsidR="00D51BB9" w:rsidRPr="00724F7E" w:rsidRDefault="00D51BB9" w:rsidP="00A006F5">
            <w:pPr>
              <w:jc w:val="center"/>
              <w:rPr>
                <w:sz w:val="20"/>
                <w:szCs w:val="20"/>
              </w:rPr>
            </w:pPr>
          </w:p>
        </w:tc>
        <w:tc>
          <w:tcPr>
            <w:tcW w:w="1134" w:type="dxa"/>
            <w:vAlign w:val="bottom"/>
          </w:tcPr>
          <w:p w:rsidR="00D51BB9" w:rsidRPr="004F1F8A" w:rsidRDefault="00D51BB9" w:rsidP="00A006F5">
            <w:pPr>
              <w:jc w:val="center"/>
              <w:rPr>
                <w:rFonts w:ascii="Calibri" w:hAnsi="Calibri"/>
                <w:color w:val="000000"/>
                <w:sz w:val="20"/>
                <w:szCs w:val="20"/>
              </w:rPr>
            </w:pPr>
            <w:r w:rsidRPr="004F1F8A">
              <w:rPr>
                <w:rFonts w:ascii="Calibri" w:hAnsi="Calibri"/>
                <w:color w:val="000000"/>
                <w:sz w:val="20"/>
                <w:szCs w:val="20"/>
              </w:rPr>
              <w:t>8.5</w:t>
            </w:r>
          </w:p>
        </w:tc>
        <w:tc>
          <w:tcPr>
            <w:tcW w:w="1134" w:type="dxa"/>
            <w:vAlign w:val="bottom"/>
          </w:tcPr>
          <w:p w:rsidR="00D51BB9" w:rsidRPr="004F1F8A" w:rsidRDefault="00D51BB9" w:rsidP="00A006F5">
            <w:pPr>
              <w:jc w:val="center"/>
              <w:rPr>
                <w:rFonts w:ascii="Calibri" w:hAnsi="Calibri"/>
                <w:color w:val="000000"/>
                <w:sz w:val="20"/>
                <w:szCs w:val="20"/>
              </w:rPr>
            </w:pPr>
            <w:r w:rsidRPr="004F1F8A">
              <w:rPr>
                <w:rFonts w:ascii="Calibri" w:hAnsi="Calibri"/>
                <w:color w:val="000000"/>
                <w:sz w:val="20"/>
                <w:szCs w:val="20"/>
              </w:rPr>
              <w:t>83.0</w:t>
            </w:r>
          </w:p>
        </w:tc>
        <w:tc>
          <w:tcPr>
            <w:tcW w:w="236" w:type="dxa"/>
            <w:vAlign w:val="bottom"/>
          </w:tcPr>
          <w:p w:rsidR="00D51BB9" w:rsidRPr="004F1F8A" w:rsidRDefault="00D51BB9" w:rsidP="00A006F5">
            <w:pPr>
              <w:jc w:val="center"/>
              <w:rPr>
                <w:rFonts w:ascii="Calibri" w:hAnsi="Calibri"/>
                <w:color w:val="000000"/>
                <w:sz w:val="20"/>
                <w:szCs w:val="20"/>
              </w:rPr>
            </w:pPr>
          </w:p>
        </w:tc>
        <w:tc>
          <w:tcPr>
            <w:tcW w:w="1134" w:type="dxa"/>
            <w:vAlign w:val="bottom"/>
          </w:tcPr>
          <w:p w:rsidR="00D51BB9" w:rsidRPr="004F1F8A" w:rsidRDefault="00D51BB9" w:rsidP="00A006F5">
            <w:pPr>
              <w:jc w:val="center"/>
              <w:rPr>
                <w:rFonts w:ascii="Calibri" w:hAnsi="Calibri"/>
                <w:color w:val="000000"/>
                <w:sz w:val="20"/>
                <w:szCs w:val="20"/>
              </w:rPr>
            </w:pPr>
            <w:r w:rsidRPr="004F1F8A">
              <w:rPr>
                <w:rFonts w:ascii="Calibri" w:hAnsi="Calibri"/>
                <w:color w:val="000000"/>
                <w:sz w:val="20"/>
                <w:szCs w:val="20"/>
              </w:rPr>
              <w:t>-1.5</w:t>
            </w:r>
          </w:p>
        </w:tc>
        <w:tc>
          <w:tcPr>
            <w:tcW w:w="1134" w:type="dxa"/>
            <w:vAlign w:val="bottom"/>
          </w:tcPr>
          <w:p w:rsidR="00D51BB9" w:rsidRPr="004F1F8A" w:rsidRDefault="00D51BB9" w:rsidP="00A006F5">
            <w:pPr>
              <w:jc w:val="center"/>
              <w:rPr>
                <w:rFonts w:ascii="Calibri" w:hAnsi="Calibri"/>
                <w:color w:val="000000"/>
                <w:sz w:val="20"/>
                <w:szCs w:val="20"/>
              </w:rPr>
            </w:pPr>
            <w:r w:rsidRPr="004F1F8A">
              <w:rPr>
                <w:rFonts w:ascii="Calibri" w:hAnsi="Calibri"/>
                <w:color w:val="000000"/>
                <w:sz w:val="20"/>
                <w:szCs w:val="20"/>
              </w:rPr>
              <w:t>194.2</w:t>
            </w:r>
          </w:p>
        </w:tc>
        <w:tc>
          <w:tcPr>
            <w:tcW w:w="236" w:type="dxa"/>
            <w:vAlign w:val="bottom"/>
          </w:tcPr>
          <w:p w:rsidR="00D51BB9" w:rsidRPr="004F1F8A" w:rsidRDefault="00D51BB9" w:rsidP="00A006F5">
            <w:pPr>
              <w:jc w:val="center"/>
              <w:rPr>
                <w:rFonts w:ascii="Calibri" w:hAnsi="Calibri"/>
                <w:color w:val="000000"/>
                <w:sz w:val="20"/>
                <w:szCs w:val="20"/>
              </w:rPr>
            </w:pPr>
          </w:p>
        </w:tc>
        <w:tc>
          <w:tcPr>
            <w:tcW w:w="1134" w:type="dxa"/>
            <w:vAlign w:val="bottom"/>
          </w:tcPr>
          <w:p w:rsidR="00D51BB9" w:rsidRPr="004F1F8A" w:rsidRDefault="00D51BB9" w:rsidP="00A006F5">
            <w:pPr>
              <w:jc w:val="center"/>
              <w:rPr>
                <w:rFonts w:ascii="Calibri" w:hAnsi="Calibri"/>
                <w:color w:val="000000"/>
                <w:sz w:val="20"/>
                <w:szCs w:val="20"/>
              </w:rPr>
            </w:pPr>
            <w:r w:rsidRPr="004F1F8A">
              <w:rPr>
                <w:rFonts w:ascii="Calibri" w:hAnsi="Calibri"/>
                <w:color w:val="000000"/>
                <w:sz w:val="20"/>
                <w:szCs w:val="20"/>
              </w:rPr>
              <w:t>-4.7</w:t>
            </w:r>
          </w:p>
        </w:tc>
        <w:tc>
          <w:tcPr>
            <w:tcW w:w="1134" w:type="dxa"/>
            <w:vAlign w:val="bottom"/>
          </w:tcPr>
          <w:p w:rsidR="00D51BB9" w:rsidRPr="004F1F8A" w:rsidRDefault="00D51BB9" w:rsidP="00A006F5">
            <w:pPr>
              <w:jc w:val="center"/>
              <w:rPr>
                <w:rFonts w:ascii="Calibri" w:hAnsi="Calibri"/>
                <w:color w:val="000000"/>
                <w:sz w:val="20"/>
                <w:szCs w:val="20"/>
              </w:rPr>
            </w:pPr>
            <w:r w:rsidRPr="004F1F8A">
              <w:rPr>
                <w:rFonts w:ascii="Calibri" w:hAnsi="Calibri"/>
                <w:color w:val="000000"/>
                <w:sz w:val="20"/>
                <w:szCs w:val="20"/>
              </w:rPr>
              <w:t>181.4</w:t>
            </w:r>
          </w:p>
        </w:tc>
        <w:tc>
          <w:tcPr>
            <w:tcW w:w="236" w:type="dxa"/>
            <w:vAlign w:val="bottom"/>
          </w:tcPr>
          <w:p w:rsidR="00D51BB9" w:rsidRPr="004F1F8A" w:rsidRDefault="00D51BB9" w:rsidP="00A006F5">
            <w:pPr>
              <w:jc w:val="center"/>
              <w:rPr>
                <w:rFonts w:ascii="Calibri" w:hAnsi="Calibri"/>
                <w:color w:val="000000"/>
                <w:sz w:val="20"/>
                <w:szCs w:val="20"/>
              </w:rPr>
            </w:pPr>
          </w:p>
        </w:tc>
        <w:tc>
          <w:tcPr>
            <w:tcW w:w="1134" w:type="dxa"/>
            <w:vAlign w:val="bottom"/>
          </w:tcPr>
          <w:p w:rsidR="00D51BB9" w:rsidRPr="004F1F8A" w:rsidRDefault="00D51BB9" w:rsidP="00A006F5">
            <w:pPr>
              <w:jc w:val="center"/>
              <w:rPr>
                <w:rFonts w:ascii="Calibri" w:hAnsi="Calibri"/>
                <w:color w:val="000000"/>
                <w:sz w:val="20"/>
                <w:szCs w:val="20"/>
              </w:rPr>
            </w:pPr>
            <w:r w:rsidRPr="004F1F8A">
              <w:rPr>
                <w:rFonts w:ascii="Calibri" w:hAnsi="Calibri"/>
                <w:color w:val="000000"/>
                <w:sz w:val="20"/>
                <w:szCs w:val="20"/>
              </w:rPr>
              <w:t>3.9</w:t>
            </w:r>
          </w:p>
        </w:tc>
        <w:tc>
          <w:tcPr>
            <w:tcW w:w="1134" w:type="dxa"/>
            <w:vAlign w:val="bottom"/>
          </w:tcPr>
          <w:p w:rsidR="00D51BB9" w:rsidRPr="004F1F8A" w:rsidRDefault="00D51BB9" w:rsidP="00A006F5">
            <w:pPr>
              <w:jc w:val="center"/>
              <w:rPr>
                <w:rFonts w:ascii="Calibri" w:hAnsi="Calibri"/>
                <w:color w:val="000000"/>
                <w:sz w:val="20"/>
                <w:szCs w:val="20"/>
              </w:rPr>
            </w:pPr>
            <w:r w:rsidRPr="004F1F8A">
              <w:rPr>
                <w:rFonts w:ascii="Calibri" w:hAnsi="Calibri"/>
                <w:color w:val="000000"/>
                <w:sz w:val="20"/>
                <w:szCs w:val="20"/>
              </w:rPr>
              <w:t>148.4</w:t>
            </w:r>
          </w:p>
        </w:tc>
      </w:tr>
      <w:tr w:rsidR="00D51BB9" w:rsidRPr="00724F7E" w:rsidTr="00D51BB9">
        <w:trPr>
          <w:trHeight w:val="254"/>
          <w:jc w:val="center"/>
        </w:trPr>
        <w:tc>
          <w:tcPr>
            <w:tcW w:w="1245" w:type="dxa"/>
            <w:vAlign w:val="center"/>
          </w:tcPr>
          <w:p w:rsidR="00D51BB9" w:rsidRDefault="00D51BB9" w:rsidP="00A006F5">
            <w:pPr>
              <w:rPr>
                <w:rFonts w:ascii="Calibri" w:hAnsi="Calibri"/>
                <w:color w:val="000000"/>
                <w:sz w:val="20"/>
                <w:szCs w:val="20"/>
              </w:rPr>
            </w:pPr>
            <w:r>
              <w:rPr>
                <w:rFonts w:ascii="Calibri" w:hAnsi="Calibri"/>
                <w:color w:val="000000"/>
                <w:sz w:val="20"/>
                <w:szCs w:val="20"/>
              </w:rPr>
              <w:t>Portugal</w:t>
            </w:r>
          </w:p>
        </w:tc>
        <w:tc>
          <w:tcPr>
            <w:tcW w:w="236" w:type="dxa"/>
          </w:tcPr>
          <w:p w:rsidR="00D51BB9" w:rsidRPr="00724F7E" w:rsidRDefault="00D51BB9" w:rsidP="00A006F5">
            <w:pPr>
              <w:jc w:val="center"/>
              <w:rPr>
                <w:sz w:val="20"/>
                <w:szCs w:val="20"/>
              </w:rPr>
            </w:pPr>
          </w:p>
        </w:tc>
        <w:tc>
          <w:tcPr>
            <w:tcW w:w="1134" w:type="dxa"/>
            <w:vAlign w:val="bottom"/>
          </w:tcPr>
          <w:p w:rsidR="00D51BB9" w:rsidRPr="004F1F8A" w:rsidRDefault="00D51BB9" w:rsidP="00A006F5">
            <w:pPr>
              <w:jc w:val="center"/>
              <w:rPr>
                <w:rFonts w:ascii="Calibri" w:hAnsi="Calibri"/>
                <w:color w:val="000000"/>
                <w:sz w:val="20"/>
                <w:szCs w:val="20"/>
              </w:rPr>
            </w:pPr>
            <w:r w:rsidRPr="004F1F8A">
              <w:rPr>
                <w:rFonts w:ascii="Calibri" w:hAnsi="Calibri"/>
                <w:color w:val="000000"/>
                <w:sz w:val="20"/>
                <w:szCs w:val="20"/>
              </w:rPr>
              <w:t>8.4</w:t>
            </w:r>
          </w:p>
        </w:tc>
        <w:tc>
          <w:tcPr>
            <w:tcW w:w="1134" w:type="dxa"/>
            <w:vAlign w:val="bottom"/>
          </w:tcPr>
          <w:p w:rsidR="00D51BB9" w:rsidRPr="004F1F8A" w:rsidRDefault="00D51BB9" w:rsidP="00A006F5">
            <w:pPr>
              <w:jc w:val="center"/>
              <w:rPr>
                <w:rFonts w:ascii="Calibri" w:hAnsi="Calibri"/>
                <w:color w:val="000000"/>
                <w:sz w:val="20"/>
                <w:szCs w:val="20"/>
              </w:rPr>
            </w:pPr>
            <w:r w:rsidRPr="004F1F8A">
              <w:rPr>
                <w:rFonts w:ascii="Calibri" w:hAnsi="Calibri"/>
                <w:color w:val="000000"/>
                <w:sz w:val="20"/>
                <w:szCs w:val="20"/>
              </w:rPr>
              <w:t>60.4</w:t>
            </w:r>
          </w:p>
        </w:tc>
        <w:tc>
          <w:tcPr>
            <w:tcW w:w="236" w:type="dxa"/>
            <w:vAlign w:val="bottom"/>
          </w:tcPr>
          <w:p w:rsidR="00D51BB9" w:rsidRPr="004F1F8A" w:rsidRDefault="00D51BB9" w:rsidP="00A006F5">
            <w:pPr>
              <w:jc w:val="center"/>
              <w:rPr>
                <w:rFonts w:ascii="Calibri" w:hAnsi="Calibri"/>
                <w:color w:val="000000"/>
                <w:sz w:val="20"/>
                <w:szCs w:val="20"/>
              </w:rPr>
            </w:pPr>
          </w:p>
        </w:tc>
        <w:tc>
          <w:tcPr>
            <w:tcW w:w="1134" w:type="dxa"/>
            <w:vAlign w:val="bottom"/>
          </w:tcPr>
          <w:p w:rsidR="00D51BB9" w:rsidRPr="004F1F8A" w:rsidRDefault="00D51BB9" w:rsidP="00A006F5">
            <w:pPr>
              <w:jc w:val="center"/>
              <w:rPr>
                <w:rFonts w:ascii="Calibri" w:hAnsi="Calibri"/>
                <w:color w:val="000000"/>
                <w:sz w:val="20"/>
                <w:szCs w:val="20"/>
              </w:rPr>
            </w:pPr>
            <w:r w:rsidRPr="004F1F8A">
              <w:rPr>
                <w:rFonts w:ascii="Calibri" w:hAnsi="Calibri"/>
                <w:color w:val="000000"/>
                <w:sz w:val="20"/>
                <w:szCs w:val="20"/>
              </w:rPr>
              <w:t>-6.1</w:t>
            </w:r>
          </w:p>
        </w:tc>
        <w:tc>
          <w:tcPr>
            <w:tcW w:w="1134" w:type="dxa"/>
            <w:vAlign w:val="bottom"/>
          </w:tcPr>
          <w:p w:rsidR="00D51BB9" w:rsidRPr="004F1F8A" w:rsidRDefault="00D51BB9" w:rsidP="00A006F5">
            <w:pPr>
              <w:jc w:val="center"/>
              <w:rPr>
                <w:rFonts w:ascii="Calibri" w:hAnsi="Calibri"/>
                <w:color w:val="000000"/>
                <w:sz w:val="20"/>
                <w:szCs w:val="20"/>
              </w:rPr>
            </w:pPr>
            <w:r w:rsidRPr="004F1F8A">
              <w:rPr>
                <w:rFonts w:ascii="Calibri" w:hAnsi="Calibri"/>
                <w:color w:val="000000"/>
                <w:sz w:val="20"/>
                <w:szCs w:val="20"/>
              </w:rPr>
              <w:t>158.4</w:t>
            </w:r>
          </w:p>
        </w:tc>
        <w:tc>
          <w:tcPr>
            <w:tcW w:w="236" w:type="dxa"/>
            <w:vAlign w:val="bottom"/>
          </w:tcPr>
          <w:p w:rsidR="00D51BB9" w:rsidRPr="004F1F8A" w:rsidRDefault="00D51BB9" w:rsidP="00A006F5">
            <w:pPr>
              <w:jc w:val="center"/>
              <w:rPr>
                <w:rFonts w:ascii="Calibri" w:hAnsi="Calibri"/>
                <w:color w:val="000000"/>
                <w:sz w:val="20"/>
                <w:szCs w:val="20"/>
              </w:rPr>
            </w:pPr>
          </w:p>
        </w:tc>
        <w:tc>
          <w:tcPr>
            <w:tcW w:w="1134" w:type="dxa"/>
            <w:vAlign w:val="bottom"/>
          </w:tcPr>
          <w:p w:rsidR="00D51BB9" w:rsidRPr="004F1F8A" w:rsidRDefault="00D51BB9" w:rsidP="00A006F5">
            <w:pPr>
              <w:jc w:val="center"/>
              <w:rPr>
                <w:rFonts w:ascii="Calibri" w:hAnsi="Calibri"/>
                <w:color w:val="000000"/>
                <w:sz w:val="20"/>
                <w:szCs w:val="20"/>
              </w:rPr>
            </w:pPr>
            <w:r w:rsidRPr="004F1F8A">
              <w:rPr>
                <w:rFonts w:ascii="Calibri" w:hAnsi="Calibri"/>
                <w:color w:val="000000"/>
                <w:sz w:val="20"/>
                <w:szCs w:val="20"/>
              </w:rPr>
              <w:t>-7.2</w:t>
            </w:r>
          </w:p>
        </w:tc>
        <w:tc>
          <w:tcPr>
            <w:tcW w:w="1134" w:type="dxa"/>
            <w:vAlign w:val="bottom"/>
          </w:tcPr>
          <w:p w:rsidR="00D51BB9" w:rsidRPr="004F1F8A" w:rsidRDefault="00D51BB9" w:rsidP="00A006F5">
            <w:pPr>
              <w:jc w:val="center"/>
              <w:rPr>
                <w:rFonts w:ascii="Calibri" w:hAnsi="Calibri"/>
                <w:color w:val="000000"/>
                <w:sz w:val="20"/>
                <w:szCs w:val="20"/>
              </w:rPr>
            </w:pPr>
            <w:r w:rsidRPr="004F1F8A">
              <w:rPr>
                <w:rFonts w:ascii="Calibri" w:hAnsi="Calibri"/>
                <w:color w:val="000000"/>
                <w:sz w:val="20"/>
                <w:szCs w:val="20"/>
              </w:rPr>
              <w:t>145.6</w:t>
            </w:r>
          </w:p>
        </w:tc>
        <w:tc>
          <w:tcPr>
            <w:tcW w:w="236" w:type="dxa"/>
            <w:vAlign w:val="bottom"/>
          </w:tcPr>
          <w:p w:rsidR="00D51BB9" w:rsidRPr="004F1F8A" w:rsidRDefault="00D51BB9" w:rsidP="00A006F5">
            <w:pPr>
              <w:jc w:val="center"/>
              <w:rPr>
                <w:rFonts w:ascii="Calibri" w:hAnsi="Calibri"/>
                <w:color w:val="000000"/>
                <w:sz w:val="20"/>
                <w:szCs w:val="20"/>
              </w:rPr>
            </w:pPr>
          </w:p>
        </w:tc>
        <w:tc>
          <w:tcPr>
            <w:tcW w:w="1134" w:type="dxa"/>
            <w:vAlign w:val="bottom"/>
          </w:tcPr>
          <w:p w:rsidR="00D51BB9" w:rsidRPr="004F1F8A" w:rsidRDefault="00D51BB9" w:rsidP="00A006F5">
            <w:pPr>
              <w:jc w:val="center"/>
              <w:rPr>
                <w:rFonts w:ascii="Calibri" w:hAnsi="Calibri"/>
                <w:color w:val="000000"/>
                <w:sz w:val="20"/>
                <w:szCs w:val="20"/>
              </w:rPr>
            </w:pPr>
            <w:r w:rsidRPr="004F1F8A">
              <w:rPr>
                <w:rFonts w:ascii="Calibri" w:hAnsi="Calibri"/>
                <w:color w:val="000000"/>
                <w:sz w:val="20"/>
                <w:szCs w:val="20"/>
              </w:rPr>
              <w:t>4.1</w:t>
            </w:r>
          </w:p>
        </w:tc>
        <w:tc>
          <w:tcPr>
            <w:tcW w:w="1134" w:type="dxa"/>
            <w:vAlign w:val="bottom"/>
          </w:tcPr>
          <w:p w:rsidR="00D51BB9" w:rsidRPr="004F1F8A" w:rsidRDefault="00D51BB9" w:rsidP="00A006F5">
            <w:pPr>
              <w:jc w:val="center"/>
              <w:rPr>
                <w:rFonts w:ascii="Calibri" w:hAnsi="Calibri"/>
                <w:color w:val="000000"/>
                <w:sz w:val="20"/>
                <w:szCs w:val="20"/>
              </w:rPr>
            </w:pPr>
            <w:r w:rsidRPr="004F1F8A">
              <w:rPr>
                <w:rFonts w:ascii="Calibri" w:hAnsi="Calibri"/>
                <w:color w:val="000000"/>
                <w:sz w:val="20"/>
                <w:szCs w:val="20"/>
              </w:rPr>
              <w:t>116.4</w:t>
            </w:r>
          </w:p>
        </w:tc>
      </w:tr>
      <w:tr w:rsidR="00D51BB9" w:rsidRPr="00724F7E" w:rsidTr="00D51BB9">
        <w:trPr>
          <w:trHeight w:val="254"/>
          <w:jc w:val="center"/>
        </w:trPr>
        <w:tc>
          <w:tcPr>
            <w:tcW w:w="1245" w:type="dxa"/>
            <w:vAlign w:val="center"/>
          </w:tcPr>
          <w:p w:rsidR="00D51BB9" w:rsidRDefault="00D51BB9" w:rsidP="00A006F5">
            <w:pPr>
              <w:rPr>
                <w:rFonts w:ascii="Calibri" w:hAnsi="Calibri"/>
                <w:color w:val="000000"/>
                <w:sz w:val="20"/>
                <w:szCs w:val="20"/>
              </w:rPr>
            </w:pPr>
            <w:r>
              <w:rPr>
                <w:rFonts w:ascii="Calibri" w:hAnsi="Calibri"/>
                <w:color w:val="000000"/>
                <w:sz w:val="20"/>
                <w:szCs w:val="20"/>
              </w:rPr>
              <w:t>Ireland</w:t>
            </w:r>
          </w:p>
        </w:tc>
        <w:tc>
          <w:tcPr>
            <w:tcW w:w="236" w:type="dxa"/>
          </w:tcPr>
          <w:p w:rsidR="00D51BB9" w:rsidRPr="00724F7E" w:rsidRDefault="00D51BB9" w:rsidP="00A006F5">
            <w:pPr>
              <w:jc w:val="center"/>
              <w:rPr>
                <w:sz w:val="20"/>
                <w:szCs w:val="20"/>
              </w:rPr>
            </w:pPr>
          </w:p>
        </w:tc>
        <w:tc>
          <w:tcPr>
            <w:tcW w:w="1134" w:type="dxa"/>
            <w:vAlign w:val="bottom"/>
          </w:tcPr>
          <w:p w:rsidR="00D51BB9" w:rsidRPr="004F1F8A" w:rsidRDefault="00D51BB9" w:rsidP="00A006F5">
            <w:pPr>
              <w:jc w:val="center"/>
              <w:rPr>
                <w:rFonts w:ascii="Calibri" w:hAnsi="Calibri"/>
                <w:color w:val="000000"/>
                <w:sz w:val="20"/>
                <w:szCs w:val="20"/>
              </w:rPr>
            </w:pPr>
            <w:r w:rsidRPr="004F1F8A">
              <w:rPr>
                <w:rFonts w:ascii="Calibri" w:hAnsi="Calibri"/>
                <w:color w:val="000000"/>
                <w:sz w:val="20"/>
                <w:szCs w:val="20"/>
              </w:rPr>
              <w:t>6.9</w:t>
            </w:r>
          </w:p>
        </w:tc>
        <w:tc>
          <w:tcPr>
            <w:tcW w:w="1134" w:type="dxa"/>
            <w:vAlign w:val="bottom"/>
          </w:tcPr>
          <w:p w:rsidR="00D51BB9" w:rsidRPr="004F1F8A" w:rsidRDefault="00D51BB9" w:rsidP="00A006F5">
            <w:pPr>
              <w:jc w:val="center"/>
              <w:rPr>
                <w:rFonts w:ascii="Calibri" w:hAnsi="Calibri"/>
                <w:color w:val="000000"/>
                <w:sz w:val="20"/>
                <w:szCs w:val="20"/>
              </w:rPr>
            </w:pPr>
            <w:r w:rsidRPr="004F1F8A">
              <w:rPr>
                <w:rFonts w:ascii="Calibri" w:hAnsi="Calibri"/>
                <w:color w:val="000000"/>
                <w:sz w:val="20"/>
                <w:szCs w:val="20"/>
              </w:rPr>
              <w:t>89.4</w:t>
            </w:r>
          </w:p>
        </w:tc>
        <w:tc>
          <w:tcPr>
            <w:tcW w:w="236" w:type="dxa"/>
            <w:vAlign w:val="bottom"/>
          </w:tcPr>
          <w:p w:rsidR="00D51BB9" w:rsidRPr="004F1F8A" w:rsidRDefault="00D51BB9" w:rsidP="00A006F5">
            <w:pPr>
              <w:jc w:val="center"/>
              <w:rPr>
                <w:rFonts w:ascii="Calibri" w:hAnsi="Calibri"/>
                <w:color w:val="000000"/>
                <w:sz w:val="20"/>
                <w:szCs w:val="20"/>
              </w:rPr>
            </w:pPr>
          </w:p>
        </w:tc>
        <w:tc>
          <w:tcPr>
            <w:tcW w:w="1134" w:type="dxa"/>
            <w:vAlign w:val="bottom"/>
          </w:tcPr>
          <w:p w:rsidR="00D51BB9" w:rsidRPr="004F1F8A" w:rsidRDefault="00D51BB9" w:rsidP="00A006F5">
            <w:pPr>
              <w:jc w:val="center"/>
              <w:rPr>
                <w:rFonts w:ascii="Calibri" w:hAnsi="Calibri"/>
                <w:color w:val="000000"/>
                <w:sz w:val="20"/>
                <w:szCs w:val="20"/>
              </w:rPr>
            </w:pPr>
            <w:r w:rsidRPr="004F1F8A">
              <w:rPr>
                <w:rFonts w:ascii="Calibri" w:hAnsi="Calibri"/>
                <w:color w:val="000000"/>
                <w:sz w:val="20"/>
                <w:szCs w:val="20"/>
              </w:rPr>
              <w:t>-13.3</w:t>
            </w:r>
          </w:p>
        </w:tc>
        <w:tc>
          <w:tcPr>
            <w:tcW w:w="1134" w:type="dxa"/>
            <w:vAlign w:val="bottom"/>
          </w:tcPr>
          <w:p w:rsidR="00D51BB9" w:rsidRPr="004F1F8A" w:rsidRDefault="00D51BB9" w:rsidP="00A006F5">
            <w:pPr>
              <w:jc w:val="center"/>
              <w:rPr>
                <w:rFonts w:ascii="Calibri" w:hAnsi="Calibri"/>
                <w:color w:val="000000"/>
                <w:sz w:val="20"/>
                <w:szCs w:val="20"/>
              </w:rPr>
            </w:pPr>
            <w:r w:rsidRPr="004F1F8A">
              <w:rPr>
                <w:rFonts w:ascii="Calibri" w:hAnsi="Calibri"/>
                <w:color w:val="000000"/>
                <w:sz w:val="20"/>
                <w:szCs w:val="20"/>
              </w:rPr>
              <w:t>257.5</w:t>
            </w:r>
          </w:p>
        </w:tc>
        <w:tc>
          <w:tcPr>
            <w:tcW w:w="236" w:type="dxa"/>
            <w:vAlign w:val="bottom"/>
          </w:tcPr>
          <w:p w:rsidR="00D51BB9" w:rsidRPr="004F1F8A" w:rsidRDefault="00D51BB9" w:rsidP="00A006F5">
            <w:pPr>
              <w:jc w:val="center"/>
              <w:rPr>
                <w:rFonts w:ascii="Calibri" w:hAnsi="Calibri"/>
                <w:color w:val="000000"/>
                <w:sz w:val="20"/>
                <w:szCs w:val="20"/>
              </w:rPr>
            </w:pPr>
          </w:p>
        </w:tc>
        <w:tc>
          <w:tcPr>
            <w:tcW w:w="1134" w:type="dxa"/>
            <w:vAlign w:val="bottom"/>
          </w:tcPr>
          <w:p w:rsidR="00D51BB9" w:rsidRPr="004F1F8A" w:rsidRDefault="00D51BB9" w:rsidP="00A006F5">
            <w:pPr>
              <w:jc w:val="center"/>
              <w:rPr>
                <w:rFonts w:ascii="Calibri" w:hAnsi="Calibri"/>
                <w:color w:val="000000"/>
                <w:sz w:val="20"/>
                <w:szCs w:val="20"/>
              </w:rPr>
            </w:pPr>
            <w:r w:rsidRPr="004F1F8A">
              <w:rPr>
                <w:rFonts w:ascii="Calibri" w:hAnsi="Calibri"/>
                <w:color w:val="000000"/>
                <w:sz w:val="20"/>
                <w:szCs w:val="20"/>
              </w:rPr>
              <w:t>1.1</w:t>
            </w:r>
          </w:p>
        </w:tc>
        <w:tc>
          <w:tcPr>
            <w:tcW w:w="1134" w:type="dxa"/>
            <w:vAlign w:val="bottom"/>
          </w:tcPr>
          <w:p w:rsidR="00D51BB9" w:rsidRPr="004F1F8A" w:rsidRDefault="00D51BB9" w:rsidP="00A006F5">
            <w:pPr>
              <w:jc w:val="center"/>
              <w:rPr>
                <w:rFonts w:ascii="Calibri" w:hAnsi="Calibri"/>
                <w:color w:val="000000"/>
                <w:sz w:val="20"/>
                <w:szCs w:val="20"/>
              </w:rPr>
            </w:pPr>
            <w:r w:rsidRPr="004F1F8A">
              <w:rPr>
                <w:rFonts w:ascii="Calibri" w:hAnsi="Calibri"/>
                <w:color w:val="000000"/>
                <w:sz w:val="20"/>
                <w:szCs w:val="20"/>
              </w:rPr>
              <w:t>143.2</w:t>
            </w:r>
          </w:p>
        </w:tc>
        <w:tc>
          <w:tcPr>
            <w:tcW w:w="236" w:type="dxa"/>
            <w:vAlign w:val="bottom"/>
          </w:tcPr>
          <w:p w:rsidR="00D51BB9" w:rsidRPr="004F1F8A" w:rsidRDefault="00D51BB9" w:rsidP="00A006F5">
            <w:pPr>
              <w:jc w:val="center"/>
              <w:rPr>
                <w:rFonts w:ascii="Calibri" w:hAnsi="Calibri"/>
                <w:color w:val="000000"/>
                <w:sz w:val="20"/>
                <w:szCs w:val="20"/>
              </w:rPr>
            </w:pPr>
          </w:p>
        </w:tc>
        <w:tc>
          <w:tcPr>
            <w:tcW w:w="1134" w:type="dxa"/>
            <w:vAlign w:val="bottom"/>
          </w:tcPr>
          <w:p w:rsidR="00D51BB9" w:rsidRPr="004F1F8A" w:rsidRDefault="00D51BB9" w:rsidP="00A006F5">
            <w:pPr>
              <w:jc w:val="center"/>
              <w:rPr>
                <w:rFonts w:ascii="Calibri" w:hAnsi="Calibri"/>
                <w:color w:val="000000"/>
                <w:sz w:val="20"/>
                <w:szCs w:val="20"/>
              </w:rPr>
            </w:pPr>
            <w:r w:rsidRPr="004F1F8A">
              <w:rPr>
                <w:rFonts w:ascii="Calibri" w:hAnsi="Calibri"/>
                <w:color w:val="000000"/>
                <w:sz w:val="20"/>
                <w:szCs w:val="20"/>
              </w:rPr>
              <w:t>9.1</w:t>
            </w:r>
          </w:p>
        </w:tc>
        <w:tc>
          <w:tcPr>
            <w:tcW w:w="1134" w:type="dxa"/>
            <w:vAlign w:val="bottom"/>
          </w:tcPr>
          <w:p w:rsidR="00D51BB9" w:rsidRPr="004F1F8A" w:rsidRDefault="00D51BB9" w:rsidP="00A006F5">
            <w:pPr>
              <w:jc w:val="center"/>
              <w:rPr>
                <w:rFonts w:ascii="Calibri" w:hAnsi="Calibri"/>
                <w:color w:val="000000"/>
                <w:sz w:val="20"/>
                <w:szCs w:val="20"/>
              </w:rPr>
            </w:pPr>
            <w:r w:rsidRPr="004F1F8A">
              <w:rPr>
                <w:rFonts w:ascii="Calibri" w:hAnsi="Calibri"/>
                <w:color w:val="000000"/>
                <w:sz w:val="20"/>
                <w:szCs w:val="20"/>
              </w:rPr>
              <w:t>92.4</w:t>
            </w:r>
          </w:p>
        </w:tc>
      </w:tr>
      <w:tr w:rsidR="00D51BB9" w:rsidRPr="00724F7E" w:rsidTr="00D51BB9">
        <w:trPr>
          <w:trHeight w:val="254"/>
          <w:jc w:val="center"/>
        </w:trPr>
        <w:tc>
          <w:tcPr>
            <w:tcW w:w="1245" w:type="dxa"/>
            <w:tcBorders>
              <w:bottom w:val="single" w:sz="4" w:space="0" w:color="auto"/>
            </w:tcBorders>
            <w:vAlign w:val="center"/>
          </w:tcPr>
          <w:p w:rsidR="00D51BB9" w:rsidRDefault="00D51BB9" w:rsidP="00A006F5">
            <w:pPr>
              <w:rPr>
                <w:rFonts w:ascii="Calibri" w:hAnsi="Calibri"/>
                <w:color w:val="000000"/>
                <w:sz w:val="20"/>
                <w:szCs w:val="20"/>
              </w:rPr>
            </w:pPr>
            <w:r>
              <w:rPr>
                <w:rFonts w:ascii="Calibri" w:hAnsi="Calibri"/>
                <w:color w:val="000000"/>
                <w:sz w:val="20"/>
                <w:szCs w:val="20"/>
              </w:rPr>
              <w:t>Greece</w:t>
            </w:r>
          </w:p>
        </w:tc>
        <w:tc>
          <w:tcPr>
            <w:tcW w:w="236" w:type="dxa"/>
            <w:tcBorders>
              <w:bottom w:val="single" w:sz="4" w:space="0" w:color="auto"/>
            </w:tcBorders>
          </w:tcPr>
          <w:p w:rsidR="00D51BB9" w:rsidRPr="00724F7E" w:rsidRDefault="00D51BB9" w:rsidP="00A006F5">
            <w:pPr>
              <w:jc w:val="center"/>
              <w:rPr>
                <w:sz w:val="20"/>
                <w:szCs w:val="20"/>
              </w:rPr>
            </w:pPr>
          </w:p>
        </w:tc>
        <w:tc>
          <w:tcPr>
            <w:tcW w:w="1134" w:type="dxa"/>
            <w:tcBorders>
              <w:bottom w:val="single" w:sz="4" w:space="0" w:color="auto"/>
            </w:tcBorders>
            <w:vAlign w:val="bottom"/>
          </w:tcPr>
          <w:p w:rsidR="00D51BB9" w:rsidRPr="004F1F8A" w:rsidRDefault="00D51BB9" w:rsidP="00A006F5">
            <w:pPr>
              <w:jc w:val="center"/>
              <w:rPr>
                <w:rFonts w:ascii="Calibri" w:hAnsi="Calibri"/>
                <w:color w:val="000000"/>
                <w:sz w:val="20"/>
                <w:szCs w:val="20"/>
              </w:rPr>
            </w:pPr>
            <w:r w:rsidRPr="004F1F8A">
              <w:rPr>
                <w:rFonts w:ascii="Calibri" w:hAnsi="Calibri"/>
                <w:color w:val="000000"/>
                <w:sz w:val="20"/>
                <w:szCs w:val="20"/>
              </w:rPr>
              <w:t>12.2</w:t>
            </w:r>
          </w:p>
        </w:tc>
        <w:tc>
          <w:tcPr>
            <w:tcW w:w="1134" w:type="dxa"/>
            <w:tcBorders>
              <w:bottom w:val="single" w:sz="4" w:space="0" w:color="auto"/>
            </w:tcBorders>
            <w:vAlign w:val="bottom"/>
          </w:tcPr>
          <w:p w:rsidR="00D51BB9" w:rsidRPr="004F1F8A" w:rsidRDefault="00D51BB9" w:rsidP="00A006F5">
            <w:pPr>
              <w:jc w:val="center"/>
              <w:rPr>
                <w:rFonts w:ascii="Calibri" w:hAnsi="Calibri"/>
                <w:color w:val="000000"/>
                <w:sz w:val="20"/>
                <w:szCs w:val="20"/>
              </w:rPr>
            </w:pPr>
            <w:r w:rsidRPr="004F1F8A">
              <w:rPr>
                <w:rFonts w:ascii="Calibri" w:hAnsi="Calibri"/>
                <w:color w:val="000000"/>
                <w:sz w:val="20"/>
                <w:szCs w:val="20"/>
              </w:rPr>
              <w:t>109.2</w:t>
            </w:r>
          </w:p>
        </w:tc>
        <w:tc>
          <w:tcPr>
            <w:tcW w:w="236" w:type="dxa"/>
            <w:tcBorders>
              <w:bottom w:val="single" w:sz="4" w:space="0" w:color="auto"/>
            </w:tcBorders>
            <w:vAlign w:val="bottom"/>
          </w:tcPr>
          <w:p w:rsidR="00D51BB9" w:rsidRPr="004F1F8A" w:rsidRDefault="00D51BB9" w:rsidP="00A006F5">
            <w:pPr>
              <w:jc w:val="center"/>
              <w:rPr>
                <w:rFonts w:ascii="Calibri" w:hAnsi="Calibri"/>
                <w:color w:val="000000"/>
                <w:sz w:val="20"/>
                <w:szCs w:val="20"/>
              </w:rPr>
            </w:pPr>
          </w:p>
        </w:tc>
        <w:tc>
          <w:tcPr>
            <w:tcW w:w="1134" w:type="dxa"/>
            <w:tcBorders>
              <w:bottom w:val="single" w:sz="4" w:space="0" w:color="auto"/>
            </w:tcBorders>
            <w:vAlign w:val="bottom"/>
          </w:tcPr>
          <w:p w:rsidR="00D51BB9" w:rsidRPr="004F1F8A" w:rsidRDefault="00D51BB9" w:rsidP="00A006F5">
            <w:pPr>
              <w:jc w:val="center"/>
              <w:rPr>
                <w:rFonts w:ascii="Calibri" w:hAnsi="Calibri"/>
                <w:color w:val="000000"/>
                <w:sz w:val="20"/>
                <w:szCs w:val="20"/>
              </w:rPr>
            </w:pPr>
            <w:r w:rsidRPr="004F1F8A">
              <w:rPr>
                <w:rFonts w:ascii="Calibri" w:hAnsi="Calibri"/>
                <w:color w:val="000000"/>
                <w:sz w:val="20"/>
                <w:szCs w:val="20"/>
              </w:rPr>
              <w:t>-10.6</w:t>
            </w:r>
          </w:p>
        </w:tc>
        <w:tc>
          <w:tcPr>
            <w:tcW w:w="1134" w:type="dxa"/>
            <w:tcBorders>
              <w:bottom w:val="single" w:sz="4" w:space="0" w:color="auto"/>
            </w:tcBorders>
            <w:vAlign w:val="bottom"/>
          </w:tcPr>
          <w:p w:rsidR="00D51BB9" w:rsidRPr="004F1F8A" w:rsidRDefault="00D51BB9" w:rsidP="00A006F5">
            <w:pPr>
              <w:jc w:val="center"/>
              <w:rPr>
                <w:rFonts w:ascii="Calibri" w:hAnsi="Calibri"/>
                <w:color w:val="000000"/>
                <w:sz w:val="20"/>
                <w:szCs w:val="20"/>
              </w:rPr>
            </w:pPr>
            <w:r w:rsidRPr="004F1F8A">
              <w:rPr>
                <w:rFonts w:ascii="Calibri" w:hAnsi="Calibri"/>
                <w:color w:val="000000"/>
                <w:sz w:val="20"/>
                <w:szCs w:val="20"/>
              </w:rPr>
              <w:t>237.0</w:t>
            </w:r>
          </w:p>
        </w:tc>
        <w:tc>
          <w:tcPr>
            <w:tcW w:w="236" w:type="dxa"/>
            <w:tcBorders>
              <w:bottom w:val="single" w:sz="4" w:space="0" w:color="auto"/>
            </w:tcBorders>
            <w:vAlign w:val="bottom"/>
          </w:tcPr>
          <w:p w:rsidR="00D51BB9" w:rsidRPr="004F1F8A" w:rsidRDefault="00D51BB9" w:rsidP="00A006F5">
            <w:pPr>
              <w:jc w:val="center"/>
              <w:rPr>
                <w:rFonts w:ascii="Calibri" w:hAnsi="Calibri"/>
                <w:color w:val="000000"/>
                <w:sz w:val="20"/>
                <w:szCs w:val="20"/>
              </w:rPr>
            </w:pPr>
          </w:p>
        </w:tc>
        <w:tc>
          <w:tcPr>
            <w:tcW w:w="1134" w:type="dxa"/>
            <w:tcBorders>
              <w:bottom w:val="single" w:sz="4" w:space="0" w:color="auto"/>
            </w:tcBorders>
            <w:vAlign w:val="bottom"/>
          </w:tcPr>
          <w:p w:rsidR="00D51BB9" w:rsidRPr="004F1F8A" w:rsidRDefault="00D51BB9" w:rsidP="00A006F5">
            <w:pPr>
              <w:jc w:val="center"/>
              <w:rPr>
                <w:rFonts w:ascii="Calibri" w:hAnsi="Calibri"/>
                <w:color w:val="000000"/>
                <w:sz w:val="20"/>
                <w:szCs w:val="20"/>
              </w:rPr>
            </w:pPr>
            <w:r w:rsidRPr="004F1F8A">
              <w:rPr>
                <w:rFonts w:ascii="Calibri" w:hAnsi="Calibri"/>
                <w:color w:val="000000"/>
                <w:sz w:val="20"/>
                <w:szCs w:val="20"/>
              </w:rPr>
              <w:t>-24.2</w:t>
            </w:r>
          </w:p>
        </w:tc>
        <w:tc>
          <w:tcPr>
            <w:tcW w:w="1134" w:type="dxa"/>
            <w:tcBorders>
              <w:bottom w:val="single" w:sz="4" w:space="0" w:color="auto"/>
            </w:tcBorders>
            <w:vAlign w:val="bottom"/>
          </w:tcPr>
          <w:p w:rsidR="00D51BB9" w:rsidRPr="004F1F8A" w:rsidRDefault="00D51BB9" w:rsidP="00A006F5">
            <w:pPr>
              <w:jc w:val="center"/>
              <w:rPr>
                <w:rFonts w:ascii="Calibri" w:hAnsi="Calibri"/>
                <w:color w:val="000000"/>
                <w:sz w:val="20"/>
                <w:szCs w:val="20"/>
              </w:rPr>
            </w:pPr>
            <w:r w:rsidRPr="004F1F8A">
              <w:rPr>
                <w:rFonts w:ascii="Calibri" w:hAnsi="Calibri"/>
                <w:color w:val="000000"/>
                <w:sz w:val="20"/>
                <w:szCs w:val="20"/>
              </w:rPr>
              <w:t>266.5</w:t>
            </w:r>
          </w:p>
        </w:tc>
        <w:tc>
          <w:tcPr>
            <w:tcW w:w="236" w:type="dxa"/>
            <w:tcBorders>
              <w:bottom w:val="single" w:sz="4" w:space="0" w:color="auto"/>
            </w:tcBorders>
            <w:vAlign w:val="bottom"/>
          </w:tcPr>
          <w:p w:rsidR="00D51BB9" w:rsidRPr="004F1F8A" w:rsidRDefault="00D51BB9" w:rsidP="00A006F5">
            <w:pPr>
              <w:jc w:val="center"/>
              <w:rPr>
                <w:rFonts w:ascii="Calibri" w:hAnsi="Calibri"/>
                <w:color w:val="000000"/>
                <w:sz w:val="20"/>
                <w:szCs w:val="20"/>
              </w:rPr>
            </w:pPr>
          </w:p>
        </w:tc>
        <w:tc>
          <w:tcPr>
            <w:tcW w:w="1134" w:type="dxa"/>
            <w:tcBorders>
              <w:bottom w:val="single" w:sz="4" w:space="0" w:color="auto"/>
            </w:tcBorders>
            <w:vAlign w:val="bottom"/>
          </w:tcPr>
          <w:p w:rsidR="00D51BB9" w:rsidRPr="004F1F8A" w:rsidRDefault="00D51BB9" w:rsidP="00A006F5">
            <w:pPr>
              <w:jc w:val="center"/>
              <w:rPr>
                <w:rFonts w:ascii="Calibri" w:hAnsi="Calibri"/>
                <w:color w:val="000000"/>
                <w:sz w:val="20"/>
                <w:szCs w:val="20"/>
              </w:rPr>
            </w:pPr>
            <w:r w:rsidRPr="004F1F8A">
              <w:rPr>
                <w:rFonts w:ascii="Calibri" w:hAnsi="Calibri"/>
                <w:color w:val="000000"/>
                <w:sz w:val="20"/>
                <w:szCs w:val="20"/>
              </w:rPr>
              <w:t>10.6</w:t>
            </w:r>
          </w:p>
        </w:tc>
        <w:tc>
          <w:tcPr>
            <w:tcW w:w="1134" w:type="dxa"/>
            <w:tcBorders>
              <w:bottom w:val="single" w:sz="4" w:space="0" w:color="auto"/>
            </w:tcBorders>
            <w:vAlign w:val="bottom"/>
          </w:tcPr>
          <w:p w:rsidR="00D51BB9" w:rsidRPr="004F1F8A" w:rsidRDefault="00D51BB9" w:rsidP="00A006F5">
            <w:pPr>
              <w:jc w:val="center"/>
              <w:rPr>
                <w:rFonts w:ascii="Calibri" w:hAnsi="Calibri"/>
                <w:color w:val="000000"/>
                <w:sz w:val="20"/>
                <w:szCs w:val="20"/>
              </w:rPr>
            </w:pPr>
            <w:r w:rsidRPr="004F1F8A">
              <w:rPr>
                <w:rFonts w:ascii="Calibri" w:hAnsi="Calibri"/>
                <w:color w:val="000000"/>
                <w:sz w:val="20"/>
                <w:szCs w:val="20"/>
              </w:rPr>
              <w:t>262.5</w:t>
            </w:r>
          </w:p>
        </w:tc>
      </w:tr>
    </w:tbl>
    <w:p w:rsidR="00FD79A6" w:rsidRDefault="00FD79A6" w:rsidP="00A10954">
      <w:pPr>
        <w:pStyle w:val="Default"/>
        <w:rPr>
          <w:rFonts w:ascii="TTdcr10" w:hAnsi="TTdcr10" w:cs="TTdcr10"/>
          <w:b/>
          <w:color w:val="auto"/>
        </w:rPr>
      </w:pPr>
    </w:p>
    <w:p w:rsidR="00FD79A6" w:rsidRDefault="00FD79A6" w:rsidP="00A10954">
      <w:pPr>
        <w:pStyle w:val="Default"/>
        <w:rPr>
          <w:rFonts w:ascii="TTdcr10" w:hAnsi="TTdcr10" w:cs="TTdcr10"/>
          <w:b/>
          <w:color w:val="auto"/>
        </w:rPr>
      </w:pPr>
    </w:p>
    <w:p w:rsidR="00FD79A6" w:rsidRDefault="00FD79A6" w:rsidP="00A10954">
      <w:pPr>
        <w:pStyle w:val="Default"/>
        <w:rPr>
          <w:rFonts w:ascii="TTdcr10" w:hAnsi="TTdcr10" w:cs="TTdcr10"/>
          <w:b/>
          <w:color w:val="auto"/>
        </w:rPr>
      </w:pPr>
    </w:p>
    <w:p w:rsidR="00FD79A6" w:rsidRDefault="00FD79A6" w:rsidP="00A10954">
      <w:pPr>
        <w:pStyle w:val="Default"/>
        <w:rPr>
          <w:rFonts w:ascii="TTdcr10" w:hAnsi="TTdcr10" w:cs="TTdcr10"/>
          <w:b/>
          <w:color w:val="auto"/>
        </w:rPr>
      </w:pPr>
    </w:p>
    <w:p w:rsidR="00FD79A6" w:rsidRDefault="00FD79A6" w:rsidP="00A10954">
      <w:pPr>
        <w:pStyle w:val="Default"/>
        <w:rPr>
          <w:rFonts w:ascii="TTdcr10" w:hAnsi="TTdcr10" w:cs="TTdcr10"/>
          <w:b/>
          <w:color w:val="auto"/>
        </w:rPr>
      </w:pPr>
    </w:p>
    <w:p w:rsidR="00FD79A6" w:rsidRDefault="00FD79A6" w:rsidP="00A10954">
      <w:pPr>
        <w:pStyle w:val="Default"/>
        <w:rPr>
          <w:rFonts w:ascii="TTdcr10" w:hAnsi="TTdcr10" w:cs="TTdcr10"/>
          <w:b/>
          <w:color w:val="auto"/>
        </w:rPr>
      </w:pPr>
    </w:p>
    <w:p w:rsidR="0081078C" w:rsidRDefault="0081078C" w:rsidP="00A10954">
      <w:pPr>
        <w:pStyle w:val="Default"/>
        <w:rPr>
          <w:rFonts w:ascii="TTdcr10" w:hAnsi="TTdcr10" w:cs="TTdcr10"/>
          <w:b/>
          <w:color w:val="auto"/>
        </w:rPr>
      </w:pPr>
    </w:p>
    <w:p w:rsidR="00A10954" w:rsidRDefault="00A10954" w:rsidP="00A10954">
      <w:pPr>
        <w:pStyle w:val="Default"/>
        <w:rPr>
          <w:rFonts w:ascii="TTdcr10" w:hAnsi="TTdcr10" w:cs="TTdcr10"/>
          <w:color w:val="auto"/>
        </w:rPr>
        <w:sectPr w:rsidR="00A10954" w:rsidSect="007930EC">
          <w:footnotePr>
            <w:numRestart w:val="eachSect"/>
          </w:footnotePr>
          <w:pgSz w:w="11906" w:h="16838"/>
          <w:pgMar w:top="1440" w:right="1440" w:bottom="1440" w:left="1440" w:header="708" w:footer="708" w:gutter="0"/>
          <w:cols w:space="708"/>
          <w:docGrid w:linePitch="360"/>
        </w:sectPr>
      </w:pPr>
    </w:p>
    <w:p w:rsidR="00A10954" w:rsidRDefault="00A10954" w:rsidP="00A10954">
      <w:pPr>
        <w:pStyle w:val="Default"/>
        <w:rPr>
          <w:rFonts w:ascii="TTdcr10" w:hAnsi="TTdcr10" w:cs="TTdcr10"/>
          <w:color w:val="auto"/>
        </w:rPr>
      </w:pPr>
    </w:p>
    <w:tbl>
      <w:tblPr>
        <w:tblStyle w:val="Grigliatabella"/>
        <w:tblW w:w="763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236"/>
        <w:gridCol w:w="1361"/>
        <w:gridCol w:w="236"/>
        <w:gridCol w:w="1361"/>
        <w:gridCol w:w="236"/>
        <w:gridCol w:w="1361"/>
        <w:gridCol w:w="236"/>
        <w:gridCol w:w="1361"/>
      </w:tblGrid>
      <w:tr w:rsidR="00A10954" w:rsidRPr="00724F7E" w:rsidTr="00CB3BD3">
        <w:trPr>
          <w:trHeight w:val="20"/>
          <w:jc w:val="center"/>
        </w:trPr>
        <w:tc>
          <w:tcPr>
            <w:tcW w:w="7635" w:type="dxa"/>
            <w:gridSpan w:val="9"/>
            <w:vAlign w:val="center"/>
          </w:tcPr>
          <w:p w:rsidR="00A10954" w:rsidRPr="00724F7E" w:rsidRDefault="003713E8" w:rsidP="00CB3BD3">
            <w:pPr>
              <w:jc w:val="center"/>
              <w:rPr>
                <w:b/>
                <w:sz w:val="20"/>
                <w:szCs w:val="20"/>
              </w:rPr>
            </w:pPr>
            <w:r>
              <w:rPr>
                <w:b/>
                <w:sz w:val="20"/>
                <w:szCs w:val="20"/>
              </w:rPr>
              <w:t>Table I</w:t>
            </w:r>
            <w:r w:rsidR="00433958">
              <w:rPr>
                <w:b/>
                <w:sz w:val="20"/>
                <w:szCs w:val="20"/>
              </w:rPr>
              <w:t>II</w:t>
            </w:r>
          </w:p>
          <w:p w:rsidR="00A10954" w:rsidRPr="00724F7E" w:rsidRDefault="00A10954" w:rsidP="007860E0">
            <w:pPr>
              <w:jc w:val="center"/>
              <w:rPr>
                <w:sz w:val="20"/>
                <w:szCs w:val="20"/>
              </w:rPr>
            </w:pPr>
            <w:r w:rsidRPr="00724F7E">
              <w:rPr>
                <w:b/>
                <w:szCs w:val="20"/>
              </w:rPr>
              <w:t xml:space="preserve">Regressions </w:t>
            </w:r>
            <w:r w:rsidR="0081078C">
              <w:rPr>
                <w:b/>
                <w:szCs w:val="20"/>
              </w:rPr>
              <w:t xml:space="preserve">of </w:t>
            </w:r>
            <w:r>
              <w:rPr>
                <w:b/>
                <w:szCs w:val="20"/>
              </w:rPr>
              <w:t>excess sovereign bond</w:t>
            </w:r>
            <w:r w:rsidR="007860E0">
              <w:rPr>
                <w:b/>
                <w:szCs w:val="20"/>
              </w:rPr>
              <w:t xml:space="preserve"> returns</w:t>
            </w:r>
            <w:r>
              <w:rPr>
                <w:b/>
                <w:szCs w:val="20"/>
              </w:rPr>
              <w:t xml:space="preserve"> </w:t>
            </w:r>
            <w:r w:rsidR="0081078C">
              <w:rPr>
                <w:b/>
                <w:szCs w:val="20"/>
              </w:rPr>
              <w:t xml:space="preserve">on </w:t>
            </w:r>
            <w:r w:rsidR="00FF05B2">
              <w:rPr>
                <w:b/>
                <w:szCs w:val="20"/>
              </w:rPr>
              <w:t xml:space="preserve">excess </w:t>
            </w:r>
            <w:r>
              <w:rPr>
                <w:b/>
                <w:szCs w:val="20"/>
              </w:rPr>
              <w:t xml:space="preserve">stock market returns  </w:t>
            </w:r>
          </w:p>
        </w:tc>
      </w:tr>
      <w:tr w:rsidR="00A10954" w:rsidRPr="00724F7E" w:rsidTr="00CB3BD3">
        <w:trPr>
          <w:trHeight w:val="20"/>
          <w:jc w:val="center"/>
        </w:trPr>
        <w:tc>
          <w:tcPr>
            <w:tcW w:w="7635" w:type="dxa"/>
            <w:gridSpan w:val="9"/>
            <w:tcBorders>
              <w:bottom w:val="single" w:sz="4" w:space="0" w:color="auto"/>
            </w:tcBorders>
            <w:vAlign w:val="center"/>
          </w:tcPr>
          <w:p w:rsidR="00A10954" w:rsidRDefault="00A10954" w:rsidP="00CB3BD3">
            <w:pPr>
              <w:autoSpaceDE w:val="0"/>
              <w:autoSpaceDN w:val="0"/>
              <w:adjustRightInd w:val="0"/>
              <w:jc w:val="both"/>
              <w:rPr>
                <w:sz w:val="20"/>
                <w:szCs w:val="20"/>
              </w:rPr>
            </w:pPr>
            <w:r w:rsidRPr="00724F7E">
              <w:rPr>
                <w:sz w:val="20"/>
                <w:szCs w:val="20"/>
              </w:rPr>
              <w:t xml:space="preserve">This table reports </w:t>
            </w:r>
            <w:r w:rsidR="0025269F">
              <w:rPr>
                <w:sz w:val="20"/>
                <w:szCs w:val="20"/>
              </w:rPr>
              <w:t xml:space="preserve">the coefficients </w:t>
            </w:r>
            <w:r w:rsidR="00FF05B2">
              <w:rPr>
                <w:sz w:val="20"/>
                <w:szCs w:val="20"/>
              </w:rPr>
              <w:t xml:space="preserve">of </w:t>
            </w:r>
            <w:r w:rsidR="007860E0">
              <w:rPr>
                <w:sz w:val="20"/>
                <w:szCs w:val="20"/>
              </w:rPr>
              <w:t xml:space="preserve">excess </w:t>
            </w:r>
            <w:r w:rsidR="00FF05B2">
              <w:rPr>
                <w:sz w:val="20"/>
                <w:szCs w:val="20"/>
              </w:rPr>
              <w:t>stock market return</w:t>
            </w:r>
            <w:r w:rsidR="0025269F">
              <w:rPr>
                <w:sz w:val="20"/>
                <w:szCs w:val="20"/>
              </w:rPr>
              <w:t>s</w:t>
            </w:r>
            <w:r w:rsidR="00FF05B2">
              <w:rPr>
                <w:sz w:val="20"/>
                <w:szCs w:val="20"/>
              </w:rPr>
              <w:t xml:space="preserve"> </w:t>
            </w:r>
            <w:r w:rsidR="0025269F">
              <w:rPr>
                <w:sz w:val="20"/>
                <w:szCs w:val="20"/>
              </w:rPr>
              <w:t xml:space="preserve">estimated with </w:t>
            </w:r>
            <w:r w:rsidR="00FF05B2">
              <w:rPr>
                <w:sz w:val="20"/>
                <w:szCs w:val="20"/>
              </w:rPr>
              <w:t>the following pooled regression model</w:t>
            </w:r>
            <w:r>
              <w:rPr>
                <w:sz w:val="20"/>
                <w:szCs w:val="20"/>
              </w:rPr>
              <w:t>:</w:t>
            </w:r>
            <w:r w:rsidRPr="00724F7E">
              <w:rPr>
                <w:sz w:val="20"/>
                <w:szCs w:val="20"/>
              </w:rPr>
              <w:t xml:space="preserve"> </w:t>
            </w:r>
          </w:p>
          <w:p w:rsidR="00A10954" w:rsidRPr="007E6A0D" w:rsidRDefault="00CE06E1" w:rsidP="00CB3BD3">
            <w:pPr>
              <w:autoSpaceDE w:val="0"/>
              <w:autoSpaceDN w:val="0"/>
              <w:adjustRightInd w:val="0"/>
              <w:jc w:val="both"/>
            </w:pPr>
            <m:oMathPara>
              <m:oMath>
                <m:sSub>
                  <m:sSubPr>
                    <m:ctrlPr>
                      <w:rPr>
                        <w:rFonts w:ascii="Cambria Math" w:hAnsi="Cambria Math"/>
                        <w:i/>
                      </w:rPr>
                    </m:ctrlPr>
                  </m:sSubPr>
                  <m:e>
                    <m:r>
                      <w:rPr>
                        <w:rFonts w:ascii="Cambria Math" w:hAnsi="Cambria Math"/>
                      </w:rPr>
                      <m:t>RB</m:t>
                    </m:r>
                  </m:e>
                  <m:sub>
                    <m:r>
                      <w:rPr>
                        <w:rFonts w:ascii="Cambria Math" w:hAnsi="Cambria Math"/>
                      </w:rPr>
                      <m:t>i,cr,t</m:t>
                    </m:r>
                  </m:sub>
                </m:sSub>
                <m:r>
                  <w:rPr>
                    <w:rFonts w:ascii="Cambria Math" w:hAnsi="Cambria Math"/>
                  </w:rPr>
                  <m:t>-</m:t>
                </m:r>
                <m:sSub>
                  <m:sSubPr>
                    <m:ctrlPr>
                      <w:rPr>
                        <w:rFonts w:ascii="Cambria Math" w:hAnsi="Cambria Math"/>
                        <w:i/>
                      </w:rPr>
                    </m:ctrlPr>
                  </m:sSubPr>
                  <m:e>
                    <m:r>
                      <w:rPr>
                        <w:rFonts w:ascii="Cambria Math" w:hAnsi="Cambria Math"/>
                      </w:rPr>
                      <m:t>RECB</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c+β</m:t>
                    </m:r>
                  </m:e>
                  <m:sub>
                    <m:r>
                      <w:rPr>
                        <w:rFonts w:ascii="Cambria Math" w:hAnsi="Cambria Math"/>
                      </w:rPr>
                      <m:t>EQT</m:t>
                    </m:r>
                  </m:sub>
                </m:sSub>
                <m:d>
                  <m:dPr>
                    <m:ctrlPr>
                      <w:rPr>
                        <w:rFonts w:ascii="Cambria Math" w:hAnsi="Cambria Math"/>
                        <w:i/>
                      </w:rPr>
                    </m:ctrlPr>
                  </m:dPr>
                  <m:e>
                    <m:sSub>
                      <m:sSubPr>
                        <m:ctrlPr>
                          <w:rPr>
                            <w:rFonts w:ascii="Cambria Math" w:hAnsi="Cambria Math"/>
                            <w:i/>
                          </w:rPr>
                        </m:ctrlPr>
                      </m:sSubPr>
                      <m:e>
                        <m:r>
                          <w:rPr>
                            <w:rFonts w:ascii="Cambria Math" w:hAnsi="Cambria Math"/>
                          </w:rPr>
                          <m:t>EQT</m:t>
                        </m:r>
                      </m:e>
                      <m:sub>
                        <m:r>
                          <w:rPr>
                            <w:rFonts w:ascii="Cambria Math" w:hAnsi="Cambria Math"/>
                          </w:rPr>
                          <m:t>cr,t</m:t>
                        </m:r>
                      </m:sub>
                    </m:sSub>
                    <m:r>
                      <w:rPr>
                        <w:rFonts w:ascii="Cambria Math" w:hAnsi="Cambria Math"/>
                      </w:rPr>
                      <m:t>-</m:t>
                    </m:r>
                    <m:sSub>
                      <m:sSubPr>
                        <m:ctrlPr>
                          <w:rPr>
                            <w:rFonts w:ascii="Cambria Math" w:hAnsi="Cambria Math"/>
                            <w:i/>
                          </w:rPr>
                        </m:ctrlPr>
                      </m:sSubPr>
                      <m:e>
                        <m:r>
                          <w:rPr>
                            <w:rFonts w:ascii="Cambria Math" w:hAnsi="Cambria Math"/>
                          </w:rPr>
                          <m:t>RECB</m:t>
                        </m:r>
                      </m:e>
                      <m:sub>
                        <m:r>
                          <w:rPr>
                            <w:rFonts w:ascii="Cambria Math" w:hAnsi="Cambria Math"/>
                          </w:rPr>
                          <m:t>t</m:t>
                        </m:r>
                      </m:sub>
                    </m:sSub>
                  </m:e>
                </m:d>
                <m:r>
                  <w:rPr>
                    <w:rFonts w:ascii="Cambria Math" w:hAnsi="Cambria Math"/>
                  </w:rPr>
                  <m:t>+</m:t>
                </m:r>
                <m:sSub>
                  <m:sSubPr>
                    <m:ctrlPr>
                      <w:rPr>
                        <w:rFonts w:ascii="Cambria Math" w:hAnsi="Cambria Math"/>
                        <w:i/>
                      </w:rPr>
                    </m:ctrlPr>
                  </m:sSubPr>
                  <m:e>
                    <m:r>
                      <w:rPr>
                        <w:rFonts w:ascii="Cambria Math" w:hAnsi="Cambria Math"/>
                      </w:rPr>
                      <m:t>ε</m:t>
                    </m:r>
                  </m:e>
                  <m:sub>
                    <m:r>
                      <w:rPr>
                        <w:rFonts w:ascii="Cambria Math" w:hAnsi="Cambria Math"/>
                      </w:rPr>
                      <m:t>i,cr,t</m:t>
                    </m:r>
                  </m:sub>
                </m:sSub>
                <m:r>
                  <w:rPr>
                    <w:rFonts w:ascii="Cambria Math" w:hAnsi="Cambria Math"/>
                  </w:rPr>
                  <m:t xml:space="preserve"> </m:t>
                </m:r>
              </m:oMath>
            </m:oMathPara>
          </w:p>
          <w:p w:rsidR="00A10954" w:rsidRPr="00724F7E" w:rsidRDefault="00A10954" w:rsidP="007F2D07">
            <w:pPr>
              <w:autoSpaceDE w:val="0"/>
              <w:autoSpaceDN w:val="0"/>
              <w:adjustRightInd w:val="0"/>
              <w:jc w:val="both"/>
              <w:rPr>
                <w:sz w:val="20"/>
                <w:szCs w:val="20"/>
              </w:rPr>
            </w:pPr>
            <w:r>
              <w:rPr>
                <w:sz w:val="20"/>
                <w:szCs w:val="20"/>
              </w:rPr>
              <w:t xml:space="preserve">where RB represents the bond specific return, </w:t>
            </w:r>
            <w:r w:rsidRPr="00724F7E">
              <w:rPr>
                <w:sz w:val="20"/>
                <w:szCs w:val="20"/>
              </w:rPr>
              <w:t xml:space="preserve">EQT refers to the </w:t>
            </w:r>
            <w:r>
              <w:rPr>
                <w:sz w:val="20"/>
                <w:szCs w:val="20"/>
              </w:rPr>
              <w:t>equity index return, and RECB is the return of the 3 month ECB rate</w:t>
            </w:r>
            <w:r w:rsidRPr="00724F7E">
              <w:rPr>
                <w:sz w:val="20"/>
                <w:szCs w:val="20"/>
              </w:rPr>
              <w:t xml:space="preserve">. </w:t>
            </w:r>
            <w:r w:rsidR="007860E0">
              <w:rPr>
                <w:sz w:val="20"/>
                <w:szCs w:val="20"/>
              </w:rPr>
              <w:t xml:space="preserve">We employ </w:t>
            </w:r>
            <w:r w:rsidR="00FF05B2">
              <w:rPr>
                <w:sz w:val="20"/>
                <w:szCs w:val="20"/>
              </w:rPr>
              <w:t>daily</w:t>
            </w:r>
            <w:r w:rsidR="007860E0">
              <w:rPr>
                <w:sz w:val="20"/>
                <w:szCs w:val="20"/>
              </w:rPr>
              <w:t xml:space="preserve"> observations</w:t>
            </w:r>
            <w:r w:rsidR="00FF05B2">
              <w:rPr>
                <w:sz w:val="20"/>
                <w:szCs w:val="20"/>
              </w:rPr>
              <w:t xml:space="preserve">. </w:t>
            </w:r>
            <w:r w:rsidR="00A11843">
              <w:rPr>
                <w:sz w:val="20"/>
                <w:szCs w:val="20"/>
              </w:rPr>
              <w:t>For each sub-period,</w:t>
            </w:r>
            <w:r w:rsidR="00A11843" w:rsidRPr="00724F7E">
              <w:rPr>
                <w:sz w:val="20"/>
                <w:szCs w:val="20"/>
              </w:rPr>
              <w:t xml:space="preserve"> </w:t>
            </w:r>
            <w:r w:rsidR="00A11843">
              <w:rPr>
                <w:sz w:val="20"/>
                <w:szCs w:val="20"/>
              </w:rPr>
              <w:t>r</w:t>
            </w:r>
            <w:r w:rsidRPr="00724F7E">
              <w:rPr>
                <w:sz w:val="20"/>
                <w:szCs w:val="20"/>
              </w:rPr>
              <w:t xml:space="preserve">egressions variables are winsorized at 1% - 99% taking into account all time-series observations </w:t>
            </w:r>
            <w:r>
              <w:rPr>
                <w:sz w:val="20"/>
                <w:szCs w:val="20"/>
              </w:rPr>
              <w:t xml:space="preserve">and demeaned at the bond level. </w:t>
            </w:r>
            <w:r>
              <w:rPr>
                <w:rFonts w:ascii="Calibri" w:hAnsi="Calibri"/>
                <w:color w:val="000000"/>
                <w:sz w:val="20"/>
                <w:szCs w:val="20"/>
              </w:rPr>
              <w:t xml:space="preserve">Sub-periods are 01 Apr 2003 to 31 Aug 2007 for the pre-crisis period, 01 Sep 2007 and 31 Dec 2009 for the subprime crisis period and the sovereign crisis period is split into two parts, 01 Jan 2010 to 30 </w:t>
            </w:r>
            <w:r w:rsidR="00661E8C">
              <w:rPr>
                <w:rFonts w:ascii="Calibri" w:hAnsi="Calibri"/>
                <w:color w:val="000000"/>
                <w:sz w:val="20"/>
                <w:szCs w:val="20"/>
              </w:rPr>
              <w:t>Dec 2011 and between 01 Jan 2012</w:t>
            </w:r>
            <w:r>
              <w:rPr>
                <w:rFonts w:ascii="Calibri" w:hAnsi="Calibri"/>
                <w:color w:val="000000"/>
                <w:sz w:val="20"/>
                <w:szCs w:val="20"/>
              </w:rPr>
              <w:t xml:space="preserve"> to 31 Dec 2013, respectively. </w:t>
            </w:r>
            <w:r w:rsidRPr="00724F7E">
              <w:rPr>
                <w:sz w:val="20"/>
                <w:szCs w:val="20"/>
              </w:rPr>
              <w:t xml:space="preserve">White cross-section standard errors &amp; covariance are used. </w:t>
            </w:r>
            <w:r w:rsidRPr="00724F7E">
              <w:rPr>
                <w:rFonts w:ascii="Cambria Math" w:hAnsi="Cambria Math" w:cs="Cambria Math"/>
                <w:sz w:val="20"/>
                <w:szCs w:val="20"/>
              </w:rPr>
              <w:t>∗∗∗</w:t>
            </w:r>
            <w:r w:rsidRPr="00724F7E">
              <w:rPr>
                <w:sz w:val="20"/>
                <w:szCs w:val="20"/>
              </w:rPr>
              <w:t xml:space="preserve">, </w:t>
            </w:r>
            <w:r w:rsidRPr="00724F7E">
              <w:rPr>
                <w:rFonts w:ascii="Cambria Math" w:hAnsi="Cambria Math" w:cs="Cambria Math"/>
                <w:sz w:val="20"/>
                <w:szCs w:val="20"/>
              </w:rPr>
              <w:t>∗∗</w:t>
            </w:r>
            <w:r w:rsidRPr="00724F7E">
              <w:rPr>
                <w:sz w:val="20"/>
                <w:szCs w:val="20"/>
              </w:rPr>
              <w:t xml:space="preserve">, and </w:t>
            </w:r>
            <w:r w:rsidRPr="00724F7E">
              <w:rPr>
                <w:rFonts w:ascii="Cambria Math" w:hAnsi="Cambria Math" w:cs="Cambria Math"/>
                <w:sz w:val="20"/>
                <w:szCs w:val="20"/>
              </w:rPr>
              <w:t>∗</w:t>
            </w:r>
            <w:r w:rsidRPr="00724F7E">
              <w:rPr>
                <w:sz w:val="20"/>
                <w:szCs w:val="20"/>
              </w:rPr>
              <w:t xml:space="preserve"> represent statistical significance at the 1%, 5%, and 10% level, respectively.</w:t>
            </w:r>
            <w:r>
              <w:rPr>
                <w:sz w:val="20"/>
                <w:szCs w:val="20"/>
              </w:rPr>
              <w:t xml:space="preserve"> Adjusted-R</w:t>
            </w:r>
            <w:r w:rsidRPr="000373B6">
              <w:rPr>
                <w:sz w:val="20"/>
                <w:szCs w:val="20"/>
                <w:vertAlign w:val="superscript"/>
              </w:rPr>
              <w:t>2</w:t>
            </w:r>
            <w:r>
              <w:rPr>
                <w:sz w:val="20"/>
                <w:szCs w:val="20"/>
              </w:rPr>
              <w:t>s are presented below each coefficient.</w:t>
            </w:r>
            <w:r w:rsidRPr="00724F7E">
              <w:rPr>
                <w:sz w:val="20"/>
                <w:szCs w:val="20"/>
              </w:rPr>
              <w:t xml:space="preserve"> For brevity, </w:t>
            </w:r>
            <w:r>
              <w:rPr>
                <w:sz w:val="20"/>
                <w:szCs w:val="20"/>
              </w:rPr>
              <w:t xml:space="preserve">the </w:t>
            </w:r>
            <w:r w:rsidRPr="00724F7E">
              <w:rPr>
                <w:sz w:val="20"/>
                <w:szCs w:val="20"/>
              </w:rPr>
              <w:t>coefficients</w:t>
            </w:r>
            <w:r>
              <w:rPr>
                <w:sz w:val="20"/>
                <w:szCs w:val="20"/>
              </w:rPr>
              <w:t xml:space="preserve"> for the constant </w:t>
            </w:r>
            <w:r w:rsidRPr="00724F7E">
              <w:rPr>
                <w:sz w:val="20"/>
                <w:szCs w:val="20"/>
              </w:rPr>
              <w:t>are not reported.</w:t>
            </w:r>
            <w:r>
              <w:rPr>
                <w:sz w:val="20"/>
                <w:szCs w:val="20"/>
              </w:rPr>
              <w:t xml:space="preserve"> </w:t>
            </w:r>
          </w:p>
        </w:tc>
      </w:tr>
      <w:tr w:rsidR="00A10954" w:rsidRPr="00724F7E" w:rsidTr="00CB3BD3">
        <w:trPr>
          <w:trHeight w:val="20"/>
          <w:jc w:val="center"/>
        </w:trPr>
        <w:tc>
          <w:tcPr>
            <w:tcW w:w="1247" w:type="dxa"/>
            <w:tcBorders>
              <w:top w:val="single" w:sz="4" w:space="0" w:color="auto"/>
            </w:tcBorders>
            <w:vAlign w:val="center"/>
          </w:tcPr>
          <w:p w:rsidR="00A10954" w:rsidRPr="00724F7E" w:rsidRDefault="00A10954" w:rsidP="00CB3BD3">
            <w:pPr>
              <w:jc w:val="center"/>
              <w:rPr>
                <w:sz w:val="20"/>
                <w:szCs w:val="20"/>
              </w:rPr>
            </w:pPr>
          </w:p>
        </w:tc>
        <w:tc>
          <w:tcPr>
            <w:tcW w:w="236" w:type="dxa"/>
            <w:tcBorders>
              <w:top w:val="single" w:sz="4" w:space="0" w:color="auto"/>
            </w:tcBorders>
            <w:vAlign w:val="center"/>
          </w:tcPr>
          <w:p w:rsidR="00A10954" w:rsidRPr="00724F7E" w:rsidRDefault="00A10954" w:rsidP="00CB3BD3">
            <w:pPr>
              <w:jc w:val="center"/>
              <w:rPr>
                <w:sz w:val="20"/>
                <w:szCs w:val="20"/>
              </w:rPr>
            </w:pPr>
          </w:p>
        </w:tc>
        <w:tc>
          <w:tcPr>
            <w:tcW w:w="1361" w:type="dxa"/>
            <w:tcBorders>
              <w:top w:val="single" w:sz="4" w:space="0" w:color="auto"/>
              <w:bottom w:val="single" w:sz="4" w:space="0" w:color="auto"/>
            </w:tcBorders>
            <w:vAlign w:val="center"/>
          </w:tcPr>
          <w:p w:rsidR="00A10954" w:rsidRPr="00724F7E" w:rsidRDefault="00A10954" w:rsidP="00CB3BD3">
            <w:pPr>
              <w:jc w:val="center"/>
              <w:rPr>
                <w:sz w:val="20"/>
                <w:szCs w:val="20"/>
              </w:rPr>
            </w:pPr>
            <w:r w:rsidRPr="00724F7E">
              <w:rPr>
                <w:sz w:val="20"/>
                <w:szCs w:val="20"/>
              </w:rPr>
              <w:t>Pre-crisis period</w:t>
            </w:r>
          </w:p>
        </w:tc>
        <w:tc>
          <w:tcPr>
            <w:tcW w:w="236" w:type="dxa"/>
            <w:tcBorders>
              <w:top w:val="single" w:sz="4" w:space="0" w:color="auto"/>
            </w:tcBorders>
            <w:vAlign w:val="center"/>
          </w:tcPr>
          <w:p w:rsidR="00A10954" w:rsidRPr="00724F7E" w:rsidRDefault="00A10954" w:rsidP="00CB3BD3">
            <w:pPr>
              <w:jc w:val="center"/>
              <w:rPr>
                <w:sz w:val="20"/>
                <w:szCs w:val="20"/>
              </w:rPr>
            </w:pPr>
          </w:p>
        </w:tc>
        <w:tc>
          <w:tcPr>
            <w:tcW w:w="1361" w:type="dxa"/>
            <w:tcBorders>
              <w:top w:val="single" w:sz="4" w:space="0" w:color="auto"/>
              <w:bottom w:val="single" w:sz="4" w:space="0" w:color="auto"/>
            </w:tcBorders>
            <w:vAlign w:val="center"/>
          </w:tcPr>
          <w:p w:rsidR="00A10954" w:rsidRPr="00724F7E" w:rsidRDefault="00A10954" w:rsidP="00CB3BD3">
            <w:pPr>
              <w:jc w:val="center"/>
              <w:rPr>
                <w:sz w:val="20"/>
                <w:szCs w:val="20"/>
              </w:rPr>
            </w:pPr>
            <w:r w:rsidRPr="00724F7E">
              <w:rPr>
                <w:sz w:val="20"/>
                <w:szCs w:val="20"/>
              </w:rPr>
              <w:t>Subprime crisis period</w:t>
            </w:r>
          </w:p>
        </w:tc>
        <w:tc>
          <w:tcPr>
            <w:tcW w:w="236" w:type="dxa"/>
            <w:tcBorders>
              <w:top w:val="single" w:sz="4" w:space="0" w:color="auto"/>
            </w:tcBorders>
            <w:vAlign w:val="center"/>
          </w:tcPr>
          <w:p w:rsidR="00A10954" w:rsidRPr="00724F7E" w:rsidRDefault="00A10954" w:rsidP="00CB3BD3">
            <w:pPr>
              <w:jc w:val="center"/>
              <w:rPr>
                <w:sz w:val="20"/>
                <w:szCs w:val="20"/>
              </w:rPr>
            </w:pPr>
          </w:p>
        </w:tc>
        <w:tc>
          <w:tcPr>
            <w:tcW w:w="1361" w:type="dxa"/>
            <w:tcBorders>
              <w:top w:val="single" w:sz="4" w:space="0" w:color="auto"/>
              <w:bottom w:val="single" w:sz="4" w:space="0" w:color="auto"/>
            </w:tcBorders>
            <w:vAlign w:val="center"/>
          </w:tcPr>
          <w:p w:rsidR="00A10954" w:rsidRPr="00724F7E" w:rsidRDefault="00A10954" w:rsidP="00CB3BD3">
            <w:pPr>
              <w:jc w:val="center"/>
              <w:rPr>
                <w:sz w:val="20"/>
                <w:szCs w:val="20"/>
              </w:rPr>
            </w:pPr>
            <w:r w:rsidRPr="00724F7E">
              <w:rPr>
                <w:sz w:val="20"/>
                <w:szCs w:val="20"/>
              </w:rPr>
              <w:t>Sovereign crisis period</w:t>
            </w:r>
            <w:r>
              <w:rPr>
                <w:sz w:val="20"/>
                <w:szCs w:val="20"/>
              </w:rPr>
              <w:t xml:space="preserve"> I</w:t>
            </w:r>
          </w:p>
        </w:tc>
        <w:tc>
          <w:tcPr>
            <w:tcW w:w="236" w:type="dxa"/>
            <w:tcBorders>
              <w:top w:val="single" w:sz="4" w:space="0" w:color="auto"/>
            </w:tcBorders>
            <w:vAlign w:val="center"/>
          </w:tcPr>
          <w:p w:rsidR="00A10954" w:rsidRPr="00724F7E" w:rsidRDefault="00A10954" w:rsidP="00CB3BD3">
            <w:pPr>
              <w:jc w:val="center"/>
              <w:rPr>
                <w:sz w:val="20"/>
                <w:szCs w:val="20"/>
              </w:rPr>
            </w:pPr>
          </w:p>
        </w:tc>
        <w:tc>
          <w:tcPr>
            <w:tcW w:w="1361" w:type="dxa"/>
            <w:tcBorders>
              <w:top w:val="single" w:sz="4" w:space="0" w:color="auto"/>
              <w:bottom w:val="single" w:sz="4" w:space="0" w:color="auto"/>
            </w:tcBorders>
            <w:vAlign w:val="center"/>
          </w:tcPr>
          <w:p w:rsidR="00A10954" w:rsidRPr="00724F7E" w:rsidRDefault="00A10954" w:rsidP="00CB3BD3">
            <w:pPr>
              <w:jc w:val="center"/>
              <w:rPr>
                <w:sz w:val="20"/>
                <w:szCs w:val="20"/>
              </w:rPr>
            </w:pPr>
            <w:r w:rsidRPr="00724F7E">
              <w:rPr>
                <w:sz w:val="20"/>
                <w:szCs w:val="20"/>
              </w:rPr>
              <w:t>Sovereign crisis period</w:t>
            </w:r>
            <w:r>
              <w:rPr>
                <w:sz w:val="20"/>
                <w:szCs w:val="20"/>
              </w:rPr>
              <w:t xml:space="preserve"> II</w:t>
            </w:r>
          </w:p>
        </w:tc>
      </w:tr>
      <w:tr w:rsidR="006B67F6" w:rsidRPr="00724F7E" w:rsidTr="00326B4F">
        <w:trPr>
          <w:trHeight w:val="254"/>
          <w:jc w:val="center"/>
        </w:trPr>
        <w:tc>
          <w:tcPr>
            <w:tcW w:w="1247" w:type="dxa"/>
            <w:vMerge w:val="restart"/>
            <w:vAlign w:val="center"/>
          </w:tcPr>
          <w:p w:rsidR="006B67F6" w:rsidRDefault="006B67F6" w:rsidP="00CB3BD3">
            <w:pPr>
              <w:rPr>
                <w:rFonts w:ascii="Calibri" w:hAnsi="Calibri"/>
                <w:color w:val="000000"/>
                <w:sz w:val="20"/>
                <w:szCs w:val="20"/>
              </w:rPr>
            </w:pPr>
            <w:r>
              <w:rPr>
                <w:rFonts w:ascii="Calibri" w:hAnsi="Calibri"/>
                <w:color w:val="000000"/>
                <w:sz w:val="20"/>
                <w:szCs w:val="20"/>
              </w:rPr>
              <w:t>Germany</w:t>
            </w:r>
          </w:p>
        </w:tc>
        <w:tc>
          <w:tcPr>
            <w:tcW w:w="236" w:type="dxa"/>
          </w:tcPr>
          <w:p w:rsidR="006B67F6" w:rsidRPr="00724F7E" w:rsidRDefault="006B67F6" w:rsidP="00CB3BD3">
            <w:pPr>
              <w:jc w:val="center"/>
              <w:rPr>
                <w:sz w:val="20"/>
                <w:szCs w:val="20"/>
              </w:rPr>
            </w:pPr>
          </w:p>
        </w:tc>
        <w:tc>
          <w:tcPr>
            <w:tcW w:w="1361" w:type="dxa"/>
            <w:vAlign w:val="center"/>
          </w:tcPr>
          <w:p w:rsidR="006B67F6" w:rsidRDefault="006B67F6">
            <w:pPr>
              <w:rPr>
                <w:rFonts w:ascii="Calibri" w:hAnsi="Calibri"/>
                <w:b/>
                <w:bCs/>
                <w:color w:val="FF0000"/>
              </w:rPr>
            </w:pPr>
            <w:r>
              <w:rPr>
                <w:rFonts w:ascii="Calibri" w:hAnsi="Calibri"/>
                <w:b/>
                <w:bCs/>
                <w:color w:val="FF0000"/>
              </w:rPr>
              <w:t>-0.023 ***</w:t>
            </w:r>
          </w:p>
        </w:tc>
        <w:tc>
          <w:tcPr>
            <w:tcW w:w="236" w:type="dxa"/>
            <w:vAlign w:val="center"/>
          </w:tcPr>
          <w:p w:rsidR="006B67F6" w:rsidRDefault="006B67F6">
            <w:pPr>
              <w:rPr>
                <w:rFonts w:ascii="Calibri" w:hAnsi="Calibri"/>
                <w:b/>
                <w:bCs/>
                <w:color w:val="FF0000"/>
              </w:rPr>
            </w:pPr>
          </w:p>
        </w:tc>
        <w:tc>
          <w:tcPr>
            <w:tcW w:w="1361" w:type="dxa"/>
            <w:vAlign w:val="center"/>
          </w:tcPr>
          <w:p w:rsidR="006B67F6" w:rsidRDefault="006B67F6">
            <w:pPr>
              <w:rPr>
                <w:rFonts w:ascii="Calibri" w:hAnsi="Calibri"/>
                <w:b/>
                <w:bCs/>
                <w:color w:val="FF0000"/>
              </w:rPr>
            </w:pPr>
            <w:r>
              <w:rPr>
                <w:rFonts w:ascii="Calibri" w:hAnsi="Calibri"/>
                <w:b/>
                <w:bCs/>
                <w:color w:val="FF0000"/>
              </w:rPr>
              <w:t>-0.061 ***</w:t>
            </w:r>
          </w:p>
        </w:tc>
        <w:tc>
          <w:tcPr>
            <w:tcW w:w="236" w:type="dxa"/>
            <w:vAlign w:val="center"/>
          </w:tcPr>
          <w:p w:rsidR="006B67F6" w:rsidRDefault="006B67F6">
            <w:pPr>
              <w:rPr>
                <w:rFonts w:ascii="Calibri" w:hAnsi="Calibri"/>
                <w:b/>
                <w:bCs/>
                <w:color w:val="FF0000"/>
              </w:rPr>
            </w:pPr>
          </w:p>
        </w:tc>
        <w:tc>
          <w:tcPr>
            <w:tcW w:w="1361" w:type="dxa"/>
            <w:vAlign w:val="center"/>
          </w:tcPr>
          <w:p w:rsidR="006B67F6" w:rsidRDefault="006B67F6">
            <w:pPr>
              <w:rPr>
                <w:rFonts w:ascii="Calibri" w:hAnsi="Calibri"/>
                <w:b/>
                <w:bCs/>
                <w:color w:val="FF0000"/>
              </w:rPr>
            </w:pPr>
            <w:r>
              <w:rPr>
                <w:rFonts w:ascii="Calibri" w:hAnsi="Calibri"/>
                <w:b/>
                <w:bCs/>
                <w:color w:val="FF0000"/>
              </w:rPr>
              <w:t>-0.101 ***</w:t>
            </w:r>
          </w:p>
        </w:tc>
        <w:tc>
          <w:tcPr>
            <w:tcW w:w="236" w:type="dxa"/>
            <w:vAlign w:val="center"/>
          </w:tcPr>
          <w:p w:rsidR="006B67F6" w:rsidRDefault="006B67F6">
            <w:pPr>
              <w:rPr>
                <w:rFonts w:ascii="Calibri" w:hAnsi="Calibri"/>
                <w:b/>
                <w:bCs/>
                <w:color w:val="FF0000"/>
              </w:rPr>
            </w:pPr>
          </w:p>
        </w:tc>
        <w:tc>
          <w:tcPr>
            <w:tcW w:w="1361" w:type="dxa"/>
            <w:vAlign w:val="center"/>
          </w:tcPr>
          <w:p w:rsidR="006B67F6" w:rsidRDefault="006B67F6">
            <w:pPr>
              <w:rPr>
                <w:rFonts w:ascii="Calibri" w:hAnsi="Calibri"/>
                <w:b/>
                <w:bCs/>
                <w:color w:val="FF0000"/>
              </w:rPr>
            </w:pPr>
            <w:r>
              <w:rPr>
                <w:rFonts w:ascii="Calibri" w:hAnsi="Calibri"/>
                <w:b/>
                <w:bCs/>
                <w:color w:val="FF0000"/>
              </w:rPr>
              <w:t>-0.078 ***</w:t>
            </w:r>
          </w:p>
        </w:tc>
      </w:tr>
      <w:tr w:rsidR="006B67F6" w:rsidRPr="00724F7E" w:rsidTr="00326B4F">
        <w:trPr>
          <w:trHeight w:val="254"/>
          <w:jc w:val="center"/>
        </w:trPr>
        <w:tc>
          <w:tcPr>
            <w:tcW w:w="1247" w:type="dxa"/>
            <w:vMerge/>
            <w:vAlign w:val="center"/>
          </w:tcPr>
          <w:p w:rsidR="006B67F6" w:rsidRDefault="006B67F6" w:rsidP="00CB3BD3">
            <w:pPr>
              <w:rPr>
                <w:rFonts w:ascii="Calibri" w:hAnsi="Calibri"/>
                <w:color w:val="000000"/>
                <w:sz w:val="20"/>
                <w:szCs w:val="20"/>
              </w:rPr>
            </w:pPr>
          </w:p>
        </w:tc>
        <w:tc>
          <w:tcPr>
            <w:tcW w:w="236" w:type="dxa"/>
          </w:tcPr>
          <w:p w:rsidR="006B67F6" w:rsidRPr="00724F7E" w:rsidRDefault="006B67F6" w:rsidP="00CB3BD3">
            <w:pPr>
              <w:jc w:val="center"/>
              <w:rPr>
                <w:sz w:val="20"/>
                <w:szCs w:val="20"/>
              </w:rPr>
            </w:pPr>
          </w:p>
        </w:tc>
        <w:tc>
          <w:tcPr>
            <w:tcW w:w="1361" w:type="dxa"/>
            <w:vAlign w:val="center"/>
          </w:tcPr>
          <w:p w:rsidR="006B67F6" w:rsidRDefault="006B67F6">
            <w:pPr>
              <w:jc w:val="right"/>
              <w:rPr>
                <w:rFonts w:ascii="Calibri" w:hAnsi="Calibri"/>
                <w:color w:val="000000"/>
                <w:sz w:val="18"/>
                <w:szCs w:val="18"/>
              </w:rPr>
            </w:pPr>
            <w:r>
              <w:rPr>
                <w:rFonts w:ascii="Calibri" w:hAnsi="Calibri"/>
                <w:color w:val="000000"/>
                <w:sz w:val="18"/>
                <w:szCs w:val="18"/>
              </w:rPr>
              <w:t>1.26%</w:t>
            </w:r>
          </w:p>
        </w:tc>
        <w:tc>
          <w:tcPr>
            <w:tcW w:w="236" w:type="dxa"/>
            <w:vAlign w:val="center"/>
          </w:tcPr>
          <w:p w:rsidR="006B67F6" w:rsidRDefault="006B67F6">
            <w:pPr>
              <w:jc w:val="right"/>
              <w:rPr>
                <w:rFonts w:ascii="Calibri" w:hAnsi="Calibri"/>
                <w:color w:val="000000"/>
                <w:sz w:val="18"/>
                <w:szCs w:val="18"/>
              </w:rPr>
            </w:pPr>
          </w:p>
        </w:tc>
        <w:tc>
          <w:tcPr>
            <w:tcW w:w="1361" w:type="dxa"/>
            <w:vAlign w:val="center"/>
          </w:tcPr>
          <w:p w:rsidR="006B67F6" w:rsidRDefault="006B67F6">
            <w:pPr>
              <w:jc w:val="right"/>
              <w:rPr>
                <w:rFonts w:ascii="Calibri" w:hAnsi="Calibri"/>
                <w:color w:val="000000"/>
                <w:sz w:val="18"/>
                <w:szCs w:val="18"/>
              </w:rPr>
            </w:pPr>
            <w:r>
              <w:rPr>
                <w:rFonts w:ascii="Calibri" w:hAnsi="Calibri"/>
                <w:color w:val="000000"/>
                <w:sz w:val="18"/>
                <w:szCs w:val="18"/>
              </w:rPr>
              <w:t>11.05%</w:t>
            </w:r>
          </w:p>
        </w:tc>
        <w:tc>
          <w:tcPr>
            <w:tcW w:w="236" w:type="dxa"/>
            <w:vAlign w:val="center"/>
          </w:tcPr>
          <w:p w:rsidR="006B67F6" w:rsidRDefault="006B67F6">
            <w:pPr>
              <w:jc w:val="right"/>
              <w:rPr>
                <w:rFonts w:ascii="Calibri" w:hAnsi="Calibri"/>
                <w:color w:val="000000"/>
                <w:sz w:val="18"/>
                <w:szCs w:val="18"/>
              </w:rPr>
            </w:pPr>
          </w:p>
        </w:tc>
        <w:tc>
          <w:tcPr>
            <w:tcW w:w="1361" w:type="dxa"/>
            <w:vAlign w:val="center"/>
          </w:tcPr>
          <w:p w:rsidR="006B67F6" w:rsidRDefault="006B67F6">
            <w:pPr>
              <w:jc w:val="right"/>
              <w:rPr>
                <w:rFonts w:ascii="Calibri" w:hAnsi="Calibri"/>
                <w:color w:val="000000"/>
                <w:sz w:val="18"/>
                <w:szCs w:val="18"/>
              </w:rPr>
            </w:pPr>
            <w:r>
              <w:rPr>
                <w:rFonts w:ascii="Calibri" w:hAnsi="Calibri"/>
                <w:color w:val="000000"/>
                <w:sz w:val="18"/>
                <w:szCs w:val="18"/>
              </w:rPr>
              <w:t>19.20%</w:t>
            </w:r>
          </w:p>
        </w:tc>
        <w:tc>
          <w:tcPr>
            <w:tcW w:w="236" w:type="dxa"/>
            <w:vAlign w:val="center"/>
          </w:tcPr>
          <w:p w:rsidR="006B67F6" w:rsidRDefault="006B67F6">
            <w:pPr>
              <w:jc w:val="right"/>
              <w:rPr>
                <w:rFonts w:ascii="Calibri" w:hAnsi="Calibri"/>
                <w:color w:val="000000"/>
                <w:sz w:val="18"/>
                <w:szCs w:val="18"/>
              </w:rPr>
            </w:pPr>
          </w:p>
        </w:tc>
        <w:tc>
          <w:tcPr>
            <w:tcW w:w="1361" w:type="dxa"/>
            <w:vAlign w:val="center"/>
          </w:tcPr>
          <w:p w:rsidR="006B67F6" w:rsidRDefault="006B67F6">
            <w:pPr>
              <w:jc w:val="right"/>
              <w:rPr>
                <w:rFonts w:ascii="Calibri" w:hAnsi="Calibri"/>
                <w:color w:val="000000"/>
                <w:sz w:val="18"/>
                <w:szCs w:val="18"/>
              </w:rPr>
            </w:pPr>
            <w:r>
              <w:rPr>
                <w:rFonts w:ascii="Calibri" w:hAnsi="Calibri"/>
                <w:color w:val="000000"/>
                <w:sz w:val="18"/>
                <w:szCs w:val="18"/>
              </w:rPr>
              <w:t>7.24%</w:t>
            </w:r>
          </w:p>
        </w:tc>
      </w:tr>
      <w:tr w:rsidR="006B67F6" w:rsidRPr="00724F7E" w:rsidTr="00326B4F">
        <w:trPr>
          <w:trHeight w:val="254"/>
          <w:jc w:val="center"/>
        </w:trPr>
        <w:tc>
          <w:tcPr>
            <w:tcW w:w="1247" w:type="dxa"/>
            <w:vMerge w:val="restart"/>
            <w:vAlign w:val="center"/>
          </w:tcPr>
          <w:p w:rsidR="006B67F6" w:rsidRDefault="006B67F6" w:rsidP="00CB3BD3">
            <w:pPr>
              <w:rPr>
                <w:rFonts w:ascii="Calibri" w:hAnsi="Calibri"/>
                <w:color w:val="000000"/>
                <w:sz w:val="20"/>
                <w:szCs w:val="20"/>
              </w:rPr>
            </w:pPr>
            <w:r>
              <w:rPr>
                <w:rFonts w:ascii="Calibri" w:hAnsi="Calibri"/>
                <w:color w:val="000000"/>
                <w:sz w:val="20"/>
                <w:szCs w:val="20"/>
              </w:rPr>
              <w:t>Netherlands</w:t>
            </w:r>
          </w:p>
        </w:tc>
        <w:tc>
          <w:tcPr>
            <w:tcW w:w="236" w:type="dxa"/>
          </w:tcPr>
          <w:p w:rsidR="006B67F6" w:rsidRPr="00724F7E" w:rsidRDefault="006B67F6" w:rsidP="00CB3BD3">
            <w:pPr>
              <w:jc w:val="center"/>
              <w:rPr>
                <w:sz w:val="20"/>
                <w:szCs w:val="20"/>
              </w:rPr>
            </w:pPr>
          </w:p>
        </w:tc>
        <w:tc>
          <w:tcPr>
            <w:tcW w:w="1361" w:type="dxa"/>
            <w:vAlign w:val="center"/>
          </w:tcPr>
          <w:p w:rsidR="006B67F6" w:rsidRDefault="006B67F6">
            <w:pPr>
              <w:rPr>
                <w:rFonts w:ascii="Calibri" w:hAnsi="Calibri"/>
                <w:b/>
                <w:bCs/>
                <w:color w:val="FF0000"/>
              </w:rPr>
            </w:pPr>
            <w:r>
              <w:rPr>
                <w:rFonts w:ascii="Calibri" w:hAnsi="Calibri"/>
                <w:b/>
                <w:bCs/>
                <w:color w:val="FF0000"/>
              </w:rPr>
              <w:t>-0.033 ***</w:t>
            </w:r>
          </w:p>
        </w:tc>
        <w:tc>
          <w:tcPr>
            <w:tcW w:w="236" w:type="dxa"/>
            <w:vAlign w:val="center"/>
          </w:tcPr>
          <w:p w:rsidR="006B67F6" w:rsidRDefault="006B67F6">
            <w:pPr>
              <w:rPr>
                <w:rFonts w:ascii="Calibri" w:hAnsi="Calibri"/>
                <w:b/>
                <w:bCs/>
                <w:color w:val="FF0000"/>
              </w:rPr>
            </w:pPr>
          </w:p>
        </w:tc>
        <w:tc>
          <w:tcPr>
            <w:tcW w:w="1361" w:type="dxa"/>
            <w:vAlign w:val="center"/>
          </w:tcPr>
          <w:p w:rsidR="006B67F6" w:rsidRDefault="006B67F6">
            <w:pPr>
              <w:rPr>
                <w:rFonts w:ascii="Calibri" w:hAnsi="Calibri"/>
                <w:b/>
                <w:bCs/>
                <w:color w:val="FF0000"/>
              </w:rPr>
            </w:pPr>
            <w:r>
              <w:rPr>
                <w:rFonts w:ascii="Calibri" w:hAnsi="Calibri"/>
                <w:b/>
                <w:bCs/>
                <w:color w:val="FF0000"/>
              </w:rPr>
              <w:t>-0.065 ***</w:t>
            </w:r>
          </w:p>
        </w:tc>
        <w:tc>
          <w:tcPr>
            <w:tcW w:w="236" w:type="dxa"/>
            <w:vAlign w:val="center"/>
          </w:tcPr>
          <w:p w:rsidR="006B67F6" w:rsidRDefault="006B67F6">
            <w:pPr>
              <w:rPr>
                <w:rFonts w:ascii="Calibri" w:hAnsi="Calibri"/>
                <w:b/>
                <w:bCs/>
                <w:color w:val="FF0000"/>
              </w:rPr>
            </w:pPr>
          </w:p>
        </w:tc>
        <w:tc>
          <w:tcPr>
            <w:tcW w:w="1361" w:type="dxa"/>
            <w:vAlign w:val="center"/>
          </w:tcPr>
          <w:p w:rsidR="006B67F6" w:rsidRDefault="006B67F6">
            <w:pPr>
              <w:rPr>
                <w:rFonts w:ascii="Calibri" w:hAnsi="Calibri"/>
                <w:b/>
                <w:bCs/>
                <w:color w:val="FF0000"/>
              </w:rPr>
            </w:pPr>
            <w:r>
              <w:rPr>
                <w:rFonts w:ascii="Calibri" w:hAnsi="Calibri"/>
                <w:b/>
                <w:bCs/>
                <w:color w:val="FF0000"/>
              </w:rPr>
              <w:t>-0.120 ***</w:t>
            </w:r>
          </w:p>
        </w:tc>
        <w:tc>
          <w:tcPr>
            <w:tcW w:w="236" w:type="dxa"/>
            <w:vAlign w:val="center"/>
          </w:tcPr>
          <w:p w:rsidR="006B67F6" w:rsidRDefault="006B67F6">
            <w:pPr>
              <w:rPr>
                <w:rFonts w:ascii="Calibri" w:hAnsi="Calibri"/>
                <w:b/>
                <w:bCs/>
                <w:color w:val="FF0000"/>
              </w:rPr>
            </w:pPr>
          </w:p>
        </w:tc>
        <w:tc>
          <w:tcPr>
            <w:tcW w:w="1361" w:type="dxa"/>
            <w:vAlign w:val="center"/>
          </w:tcPr>
          <w:p w:rsidR="006B67F6" w:rsidRDefault="006B67F6">
            <w:pPr>
              <w:rPr>
                <w:rFonts w:ascii="Calibri" w:hAnsi="Calibri"/>
                <w:b/>
                <w:bCs/>
                <w:color w:val="FF0000"/>
              </w:rPr>
            </w:pPr>
            <w:r>
              <w:rPr>
                <w:rFonts w:ascii="Calibri" w:hAnsi="Calibri"/>
                <w:b/>
                <w:bCs/>
                <w:color w:val="FF0000"/>
              </w:rPr>
              <w:t>-0.059 ***</w:t>
            </w:r>
          </w:p>
        </w:tc>
      </w:tr>
      <w:tr w:rsidR="006B67F6" w:rsidRPr="00724F7E" w:rsidTr="00326B4F">
        <w:trPr>
          <w:trHeight w:val="254"/>
          <w:jc w:val="center"/>
        </w:trPr>
        <w:tc>
          <w:tcPr>
            <w:tcW w:w="1247" w:type="dxa"/>
            <w:vMerge/>
            <w:vAlign w:val="center"/>
          </w:tcPr>
          <w:p w:rsidR="006B67F6" w:rsidRDefault="006B67F6" w:rsidP="00CB3BD3">
            <w:pPr>
              <w:rPr>
                <w:rFonts w:ascii="Calibri" w:hAnsi="Calibri"/>
                <w:color w:val="000000"/>
                <w:sz w:val="20"/>
                <w:szCs w:val="20"/>
              </w:rPr>
            </w:pPr>
          </w:p>
        </w:tc>
        <w:tc>
          <w:tcPr>
            <w:tcW w:w="236" w:type="dxa"/>
          </w:tcPr>
          <w:p w:rsidR="006B67F6" w:rsidRPr="00724F7E" w:rsidRDefault="006B67F6" w:rsidP="00CB3BD3">
            <w:pPr>
              <w:jc w:val="center"/>
              <w:rPr>
                <w:sz w:val="20"/>
                <w:szCs w:val="20"/>
              </w:rPr>
            </w:pPr>
          </w:p>
        </w:tc>
        <w:tc>
          <w:tcPr>
            <w:tcW w:w="1361" w:type="dxa"/>
            <w:vAlign w:val="center"/>
          </w:tcPr>
          <w:p w:rsidR="006B67F6" w:rsidRDefault="006B67F6">
            <w:pPr>
              <w:jc w:val="right"/>
              <w:rPr>
                <w:rFonts w:ascii="Calibri" w:hAnsi="Calibri"/>
                <w:color w:val="000000"/>
                <w:sz w:val="18"/>
                <w:szCs w:val="18"/>
              </w:rPr>
            </w:pPr>
            <w:r>
              <w:rPr>
                <w:rFonts w:ascii="Calibri" w:hAnsi="Calibri"/>
                <w:color w:val="000000"/>
                <w:sz w:val="18"/>
                <w:szCs w:val="18"/>
              </w:rPr>
              <w:t>1.40%</w:t>
            </w:r>
          </w:p>
        </w:tc>
        <w:tc>
          <w:tcPr>
            <w:tcW w:w="236" w:type="dxa"/>
            <w:vAlign w:val="center"/>
          </w:tcPr>
          <w:p w:rsidR="006B67F6" w:rsidRDefault="006B67F6">
            <w:pPr>
              <w:jc w:val="right"/>
              <w:rPr>
                <w:rFonts w:ascii="Calibri" w:hAnsi="Calibri"/>
                <w:color w:val="000000"/>
                <w:sz w:val="18"/>
                <w:szCs w:val="18"/>
              </w:rPr>
            </w:pPr>
          </w:p>
        </w:tc>
        <w:tc>
          <w:tcPr>
            <w:tcW w:w="1361" w:type="dxa"/>
            <w:vAlign w:val="center"/>
          </w:tcPr>
          <w:p w:rsidR="006B67F6" w:rsidRDefault="006B67F6">
            <w:pPr>
              <w:jc w:val="right"/>
              <w:rPr>
                <w:rFonts w:ascii="Calibri" w:hAnsi="Calibri"/>
                <w:color w:val="000000"/>
                <w:sz w:val="18"/>
                <w:szCs w:val="18"/>
              </w:rPr>
            </w:pPr>
            <w:r>
              <w:rPr>
                <w:rFonts w:ascii="Calibri" w:hAnsi="Calibri"/>
                <w:color w:val="000000"/>
                <w:sz w:val="18"/>
                <w:szCs w:val="18"/>
              </w:rPr>
              <w:t>13.05%</w:t>
            </w:r>
          </w:p>
        </w:tc>
        <w:tc>
          <w:tcPr>
            <w:tcW w:w="236" w:type="dxa"/>
            <w:vAlign w:val="center"/>
          </w:tcPr>
          <w:p w:rsidR="006B67F6" w:rsidRDefault="006B67F6">
            <w:pPr>
              <w:jc w:val="right"/>
              <w:rPr>
                <w:rFonts w:ascii="Calibri" w:hAnsi="Calibri"/>
                <w:color w:val="000000"/>
                <w:sz w:val="18"/>
                <w:szCs w:val="18"/>
              </w:rPr>
            </w:pPr>
          </w:p>
        </w:tc>
        <w:tc>
          <w:tcPr>
            <w:tcW w:w="1361" w:type="dxa"/>
            <w:vAlign w:val="center"/>
          </w:tcPr>
          <w:p w:rsidR="006B67F6" w:rsidRDefault="006B67F6">
            <w:pPr>
              <w:jc w:val="right"/>
              <w:rPr>
                <w:rFonts w:ascii="Calibri" w:hAnsi="Calibri"/>
                <w:color w:val="000000"/>
                <w:sz w:val="18"/>
                <w:szCs w:val="18"/>
              </w:rPr>
            </w:pPr>
            <w:r>
              <w:rPr>
                <w:rFonts w:ascii="Calibri" w:hAnsi="Calibri"/>
                <w:color w:val="000000"/>
                <w:sz w:val="18"/>
                <w:szCs w:val="18"/>
              </w:rPr>
              <w:t>17.79%</w:t>
            </w:r>
          </w:p>
        </w:tc>
        <w:tc>
          <w:tcPr>
            <w:tcW w:w="236" w:type="dxa"/>
            <w:vAlign w:val="center"/>
          </w:tcPr>
          <w:p w:rsidR="006B67F6" w:rsidRDefault="006B67F6">
            <w:pPr>
              <w:jc w:val="right"/>
              <w:rPr>
                <w:rFonts w:ascii="Calibri" w:hAnsi="Calibri"/>
                <w:color w:val="000000"/>
                <w:sz w:val="18"/>
                <w:szCs w:val="18"/>
              </w:rPr>
            </w:pPr>
          </w:p>
        </w:tc>
        <w:tc>
          <w:tcPr>
            <w:tcW w:w="1361" w:type="dxa"/>
            <w:vAlign w:val="center"/>
          </w:tcPr>
          <w:p w:rsidR="006B67F6" w:rsidRDefault="006B67F6">
            <w:pPr>
              <w:jc w:val="right"/>
              <w:rPr>
                <w:rFonts w:ascii="Calibri" w:hAnsi="Calibri"/>
                <w:color w:val="000000"/>
                <w:sz w:val="18"/>
                <w:szCs w:val="18"/>
              </w:rPr>
            </w:pPr>
            <w:r>
              <w:rPr>
                <w:rFonts w:ascii="Calibri" w:hAnsi="Calibri"/>
                <w:color w:val="000000"/>
                <w:sz w:val="18"/>
                <w:szCs w:val="18"/>
              </w:rPr>
              <w:t>3.14%</w:t>
            </w:r>
          </w:p>
        </w:tc>
      </w:tr>
      <w:tr w:rsidR="006B67F6" w:rsidRPr="00724F7E" w:rsidTr="00326B4F">
        <w:trPr>
          <w:trHeight w:val="254"/>
          <w:jc w:val="center"/>
        </w:trPr>
        <w:tc>
          <w:tcPr>
            <w:tcW w:w="1247" w:type="dxa"/>
            <w:vMerge w:val="restart"/>
            <w:vAlign w:val="center"/>
          </w:tcPr>
          <w:p w:rsidR="006B67F6" w:rsidRDefault="006B67F6" w:rsidP="00CB3BD3">
            <w:pPr>
              <w:rPr>
                <w:rFonts w:ascii="Calibri" w:hAnsi="Calibri"/>
                <w:color w:val="000000"/>
                <w:sz w:val="20"/>
                <w:szCs w:val="20"/>
              </w:rPr>
            </w:pPr>
            <w:r>
              <w:rPr>
                <w:rFonts w:ascii="Calibri" w:hAnsi="Calibri"/>
                <w:color w:val="000000"/>
                <w:sz w:val="20"/>
                <w:szCs w:val="20"/>
              </w:rPr>
              <w:t>Finland</w:t>
            </w:r>
          </w:p>
        </w:tc>
        <w:tc>
          <w:tcPr>
            <w:tcW w:w="236" w:type="dxa"/>
          </w:tcPr>
          <w:p w:rsidR="006B67F6" w:rsidRPr="00724F7E" w:rsidRDefault="006B67F6" w:rsidP="00CB3BD3">
            <w:pPr>
              <w:jc w:val="center"/>
              <w:rPr>
                <w:sz w:val="20"/>
                <w:szCs w:val="20"/>
              </w:rPr>
            </w:pPr>
          </w:p>
        </w:tc>
        <w:tc>
          <w:tcPr>
            <w:tcW w:w="1361" w:type="dxa"/>
            <w:vAlign w:val="center"/>
          </w:tcPr>
          <w:p w:rsidR="006B67F6" w:rsidRDefault="006B67F6">
            <w:pPr>
              <w:rPr>
                <w:rFonts w:ascii="Calibri" w:hAnsi="Calibri"/>
                <w:b/>
                <w:bCs/>
                <w:color w:val="FF0000"/>
              </w:rPr>
            </w:pPr>
            <w:r>
              <w:rPr>
                <w:rFonts w:ascii="Calibri" w:hAnsi="Calibri"/>
                <w:b/>
                <w:bCs/>
                <w:color w:val="FF0000"/>
              </w:rPr>
              <w:t>-0.018 ***</w:t>
            </w:r>
          </w:p>
        </w:tc>
        <w:tc>
          <w:tcPr>
            <w:tcW w:w="236" w:type="dxa"/>
            <w:vAlign w:val="center"/>
          </w:tcPr>
          <w:p w:rsidR="006B67F6" w:rsidRDefault="006B67F6">
            <w:pPr>
              <w:rPr>
                <w:rFonts w:ascii="Calibri" w:hAnsi="Calibri"/>
                <w:b/>
                <w:bCs/>
                <w:color w:val="FF0000"/>
              </w:rPr>
            </w:pPr>
          </w:p>
        </w:tc>
        <w:tc>
          <w:tcPr>
            <w:tcW w:w="1361" w:type="dxa"/>
            <w:vAlign w:val="center"/>
          </w:tcPr>
          <w:p w:rsidR="006B67F6" w:rsidRDefault="006B67F6">
            <w:pPr>
              <w:rPr>
                <w:rFonts w:ascii="Calibri" w:hAnsi="Calibri"/>
                <w:b/>
                <w:bCs/>
                <w:color w:val="FF0000"/>
              </w:rPr>
            </w:pPr>
            <w:r>
              <w:rPr>
                <w:rFonts w:ascii="Calibri" w:hAnsi="Calibri"/>
                <w:b/>
                <w:bCs/>
                <w:color w:val="FF0000"/>
              </w:rPr>
              <w:t>-0.050 ***</w:t>
            </w:r>
          </w:p>
        </w:tc>
        <w:tc>
          <w:tcPr>
            <w:tcW w:w="236" w:type="dxa"/>
            <w:vAlign w:val="center"/>
          </w:tcPr>
          <w:p w:rsidR="006B67F6" w:rsidRDefault="006B67F6">
            <w:pPr>
              <w:rPr>
                <w:rFonts w:ascii="Calibri" w:hAnsi="Calibri"/>
                <w:b/>
                <w:bCs/>
                <w:color w:val="FF0000"/>
              </w:rPr>
            </w:pPr>
          </w:p>
        </w:tc>
        <w:tc>
          <w:tcPr>
            <w:tcW w:w="1361" w:type="dxa"/>
            <w:vAlign w:val="center"/>
          </w:tcPr>
          <w:p w:rsidR="006B67F6" w:rsidRDefault="006B67F6">
            <w:pPr>
              <w:rPr>
                <w:rFonts w:ascii="Calibri" w:hAnsi="Calibri"/>
                <w:b/>
                <w:bCs/>
                <w:color w:val="FF0000"/>
              </w:rPr>
            </w:pPr>
            <w:r>
              <w:rPr>
                <w:rFonts w:ascii="Calibri" w:hAnsi="Calibri"/>
                <w:b/>
                <w:bCs/>
                <w:color w:val="FF0000"/>
              </w:rPr>
              <w:t>-0.068 ***</w:t>
            </w:r>
          </w:p>
        </w:tc>
        <w:tc>
          <w:tcPr>
            <w:tcW w:w="236" w:type="dxa"/>
            <w:vAlign w:val="center"/>
          </w:tcPr>
          <w:p w:rsidR="006B67F6" w:rsidRDefault="006B67F6">
            <w:pPr>
              <w:rPr>
                <w:rFonts w:ascii="Calibri" w:hAnsi="Calibri"/>
                <w:b/>
                <w:bCs/>
                <w:color w:val="FF0000"/>
              </w:rPr>
            </w:pPr>
          </w:p>
        </w:tc>
        <w:tc>
          <w:tcPr>
            <w:tcW w:w="1361" w:type="dxa"/>
            <w:vAlign w:val="center"/>
          </w:tcPr>
          <w:p w:rsidR="006B67F6" w:rsidRDefault="006B67F6">
            <w:pPr>
              <w:rPr>
                <w:rFonts w:ascii="Calibri" w:hAnsi="Calibri"/>
                <w:b/>
                <w:bCs/>
                <w:color w:val="FF0000"/>
              </w:rPr>
            </w:pPr>
            <w:r>
              <w:rPr>
                <w:rFonts w:ascii="Calibri" w:hAnsi="Calibri"/>
                <w:b/>
                <w:bCs/>
                <w:color w:val="FF0000"/>
              </w:rPr>
              <w:t>-0.039 ***</w:t>
            </w:r>
          </w:p>
        </w:tc>
      </w:tr>
      <w:tr w:rsidR="006B67F6" w:rsidRPr="00724F7E" w:rsidTr="00326B4F">
        <w:trPr>
          <w:trHeight w:val="254"/>
          <w:jc w:val="center"/>
        </w:trPr>
        <w:tc>
          <w:tcPr>
            <w:tcW w:w="1247" w:type="dxa"/>
            <w:vMerge/>
            <w:vAlign w:val="center"/>
          </w:tcPr>
          <w:p w:rsidR="006B67F6" w:rsidRDefault="006B67F6" w:rsidP="00CB3BD3">
            <w:pPr>
              <w:rPr>
                <w:rFonts w:ascii="Calibri" w:hAnsi="Calibri"/>
                <w:color w:val="000000"/>
                <w:sz w:val="20"/>
                <w:szCs w:val="20"/>
              </w:rPr>
            </w:pPr>
          </w:p>
        </w:tc>
        <w:tc>
          <w:tcPr>
            <w:tcW w:w="236" w:type="dxa"/>
          </w:tcPr>
          <w:p w:rsidR="006B67F6" w:rsidRPr="00724F7E" w:rsidRDefault="006B67F6" w:rsidP="00CB3BD3">
            <w:pPr>
              <w:jc w:val="center"/>
              <w:rPr>
                <w:sz w:val="20"/>
                <w:szCs w:val="20"/>
              </w:rPr>
            </w:pPr>
          </w:p>
        </w:tc>
        <w:tc>
          <w:tcPr>
            <w:tcW w:w="1361" w:type="dxa"/>
            <w:vAlign w:val="center"/>
          </w:tcPr>
          <w:p w:rsidR="006B67F6" w:rsidRDefault="006B67F6">
            <w:pPr>
              <w:jc w:val="right"/>
              <w:rPr>
                <w:rFonts w:ascii="Calibri" w:hAnsi="Calibri"/>
                <w:color w:val="000000"/>
                <w:sz w:val="18"/>
                <w:szCs w:val="18"/>
              </w:rPr>
            </w:pPr>
            <w:r>
              <w:rPr>
                <w:rFonts w:ascii="Calibri" w:hAnsi="Calibri"/>
                <w:color w:val="000000"/>
                <w:sz w:val="18"/>
                <w:szCs w:val="18"/>
              </w:rPr>
              <w:t>1.40%</w:t>
            </w:r>
          </w:p>
        </w:tc>
        <w:tc>
          <w:tcPr>
            <w:tcW w:w="236" w:type="dxa"/>
            <w:vAlign w:val="center"/>
          </w:tcPr>
          <w:p w:rsidR="006B67F6" w:rsidRDefault="006B67F6">
            <w:pPr>
              <w:jc w:val="right"/>
              <w:rPr>
                <w:rFonts w:ascii="Calibri" w:hAnsi="Calibri"/>
                <w:color w:val="000000"/>
                <w:sz w:val="18"/>
                <w:szCs w:val="18"/>
              </w:rPr>
            </w:pPr>
          </w:p>
        </w:tc>
        <w:tc>
          <w:tcPr>
            <w:tcW w:w="1361" w:type="dxa"/>
            <w:vAlign w:val="center"/>
          </w:tcPr>
          <w:p w:rsidR="006B67F6" w:rsidRDefault="006B67F6">
            <w:pPr>
              <w:jc w:val="right"/>
              <w:rPr>
                <w:rFonts w:ascii="Calibri" w:hAnsi="Calibri"/>
                <w:color w:val="000000"/>
                <w:sz w:val="18"/>
                <w:szCs w:val="18"/>
              </w:rPr>
            </w:pPr>
            <w:r>
              <w:rPr>
                <w:rFonts w:ascii="Calibri" w:hAnsi="Calibri"/>
                <w:color w:val="000000"/>
                <w:sz w:val="18"/>
                <w:szCs w:val="18"/>
              </w:rPr>
              <w:t>14.77%</w:t>
            </w:r>
          </w:p>
        </w:tc>
        <w:tc>
          <w:tcPr>
            <w:tcW w:w="236" w:type="dxa"/>
            <w:vAlign w:val="center"/>
          </w:tcPr>
          <w:p w:rsidR="006B67F6" w:rsidRDefault="006B67F6">
            <w:pPr>
              <w:jc w:val="right"/>
              <w:rPr>
                <w:rFonts w:ascii="Calibri" w:hAnsi="Calibri"/>
                <w:color w:val="000000"/>
                <w:sz w:val="18"/>
                <w:szCs w:val="18"/>
              </w:rPr>
            </w:pPr>
          </w:p>
        </w:tc>
        <w:tc>
          <w:tcPr>
            <w:tcW w:w="1361" w:type="dxa"/>
            <w:vAlign w:val="center"/>
          </w:tcPr>
          <w:p w:rsidR="006B67F6" w:rsidRDefault="006B67F6">
            <w:pPr>
              <w:jc w:val="right"/>
              <w:rPr>
                <w:rFonts w:ascii="Calibri" w:hAnsi="Calibri"/>
                <w:color w:val="000000"/>
                <w:sz w:val="18"/>
                <w:szCs w:val="18"/>
              </w:rPr>
            </w:pPr>
            <w:r>
              <w:rPr>
                <w:rFonts w:ascii="Calibri" w:hAnsi="Calibri"/>
                <w:color w:val="000000"/>
                <w:sz w:val="18"/>
                <w:szCs w:val="18"/>
              </w:rPr>
              <w:t>16.99%</w:t>
            </w:r>
          </w:p>
        </w:tc>
        <w:tc>
          <w:tcPr>
            <w:tcW w:w="236" w:type="dxa"/>
            <w:vAlign w:val="center"/>
          </w:tcPr>
          <w:p w:rsidR="006B67F6" w:rsidRDefault="006B67F6">
            <w:pPr>
              <w:jc w:val="right"/>
              <w:rPr>
                <w:rFonts w:ascii="Calibri" w:hAnsi="Calibri"/>
                <w:color w:val="000000"/>
                <w:sz w:val="18"/>
                <w:szCs w:val="18"/>
              </w:rPr>
            </w:pPr>
          </w:p>
        </w:tc>
        <w:tc>
          <w:tcPr>
            <w:tcW w:w="1361" w:type="dxa"/>
            <w:vAlign w:val="center"/>
          </w:tcPr>
          <w:p w:rsidR="006B67F6" w:rsidRDefault="006B67F6">
            <w:pPr>
              <w:jc w:val="right"/>
              <w:rPr>
                <w:rFonts w:ascii="Calibri" w:hAnsi="Calibri"/>
                <w:color w:val="000000"/>
                <w:sz w:val="18"/>
                <w:szCs w:val="18"/>
              </w:rPr>
            </w:pPr>
            <w:r>
              <w:rPr>
                <w:rFonts w:ascii="Calibri" w:hAnsi="Calibri"/>
                <w:color w:val="000000"/>
                <w:sz w:val="18"/>
                <w:szCs w:val="18"/>
              </w:rPr>
              <w:t>2.88%</w:t>
            </w:r>
          </w:p>
        </w:tc>
      </w:tr>
      <w:tr w:rsidR="006B67F6" w:rsidRPr="00724F7E" w:rsidTr="00326B4F">
        <w:trPr>
          <w:trHeight w:val="254"/>
          <w:jc w:val="center"/>
        </w:trPr>
        <w:tc>
          <w:tcPr>
            <w:tcW w:w="1247" w:type="dxa"/>
            <w:vMerge w:val="restart"/>
            <w:vAlign w:val="center"/>
          </w:tcPr>
          <w:p w:rsidR="006B67F6" w:rsidRDefault="006B67F6" w:rsidP="00CB3BD3">
            <w:pPr>
              <w:rPr>
                <w:rFonts w:ascii="Calibri" w:hAnsi="Calibri"/>
                <w:color w:val="000000"/>
                <w:sz w:val="20"/>
                <w:szCs w:val="20"/>
              </w:rPr>
            </w:pPr>
            <w:r>
              <w:rPr>
                <w:rFonts w:ascii="Calibri" w:hAnsi="Calibri"/>
                <w:color w:val="000000"/>
                <w:sz w:val="20"/>
                <w:szCs w:val="20"/>
              </w:rPr>
              <w:t>France</w:t>
            </w:r>
          </w:p>
        </w:tc>
        <w:tc>
          <w:tcPr>
            <w:tcW w:w="236" w:type="dxa"/>
          </w:tcPr>
          <w:p w:rsidR="006B67F6" w:rsidRPr="00724F7E" w:rsidRDefault="006B67F6" w:rsidP="00CB3BD3">
            <w:pPr>
              <w:jc w:val="center"/>
              <w:rPr>
                <w:sz w:val="20"/>
                <w:szCs w:val="20"/>
              </w:rPr>
            </w:pPr>
          </w:p>
        </w:tc>
        <w:tc>
          <w:tcPr>
            <w:tcW w:w="1361" w:type="dxa"/>
            <w:vAlign w:val="center"/>
          </w:tcPr>
          <w:p w:rsidR="006B67F6" w:rsidRDefault="006B67F6">
            <w:pPr>
              <w:rPr>
                <w:rFonts w:ascii="Calibri" w:hAnsi="Calibri"/>
                <w:b/>
                <w:bCs/>
                <w:color w:val="FF0000"/>
              </w:rPr>
            </w:pPr>
            <w:r>
              <w:rPr>
                <w:rFonts w:ascii="Calibri" w:hAnsi="Calibri"/>
                <w:b/>
                <w:bCs/>
                <w:color w:val="FF0000"/>
              </w:rPr>
              <w:t>-0.034 ***</w:t>
            </w:r>
          </w:p>
        </w:tc>
        <w:tc>
          <w:tcPr>
            <w:tcW w:w="236" w:type="dxa"/>
            <w:vAlign w:val="center"/>
          </w:tcPr>
          <w:p w:rsidR="006B67F6" w:rsidRDefault="006B67F6">
            <w:pPr>
              <w:rPr>
                <w:rFonts w:ascii="Calibri" w:hAnsi="Calibri"/>
                <w:b/>
                <w:bCs/>
                <w:color w:val="FF0000"/>
              </w:rPr>
            </w:pPr>
          </w:p>
        </w:tc>
        <w:tc>
          <w:tcPr>
            <w:tcW w:w="1361" w:type="dxa"/>
            <w:vAlign w:val="center"/>
          </w:tcPr>
          <w:p w:rsidR="006B67F6" w:rsidRDefault="006B67F6">
            <w:pPr>
              <w:rPr>
                <w:rFonts w:ascii="Calibri" w:hAnsi="Calibri"/>
                <w:b/>
                <w:bCs/>
                <w:color w:val="FF0000"/>
              </w:rPr>
            </w:pPr>
            <w:r>
              <w:rPr>
                <w:rFonts w:ascii="Calibri" w:hAnsi="Calibri"/>
                <w:b/>
                <w:bCs/>
                <w:color w:val="FF0000"/>
              </w:rPr>
              <w:t>-0.067 ***</w:t>
            </w:r>
          </w:p>
        </w:tc>
        <w:tc>
          <w:tcPr>
            <w:tcW w:w="236" w:type="dxa"/>
            <w:vAlign w:val="center"/>
          </w:tcPr>
          <w:p w:rsidR="006B67F6" w:rsidRDefault="006B67F6">
            <w:pPr>
              <w:rPr>
                <w:rFonts w:ascii="Calibri" w:hAnsi="Calibri"/>
                <w:b/>
                <w:bCs/>
                <w:color w:val="FF0000"/>
              </w:rPr>
            </w:pPr>
          </w:p>
        </w:tc>
        <w:tc>
          <w:tcPr>
            <w:tcW w:w="1361" w:type="dxa"/>
            <w:vAlign w:val="center"/>
          </w:tcPr>
          <w:p w:rsidR="006B67F6" w:rsidRDefault="006B67F6">
            <w:pPr>
              <w:rPr>
                <w:rFonts w:ascii="Calibri" w:hAnsi="Calibri"/>
                <w:b/>
                <w:bCs/>
                <w:color w:val="FF0000"/>
              </w:rPr>
            </w:pPr>
            <w:r>
              <w:rPr>
                <w:rFonts w:ascii="Calibri" w:hAnsi="Calibri"/>
                <w:b/>
                <w:bCs/>
                <w:color w:val="FF0000"/>
              </w:rPr>
              <w:t>-0.073 ***</w:t>
            </w:r>
          </w:p>
        </w:tc>
        <w:tc>
          <w:tcPr>
            <w:tcW w:w="236" w:type="dxa"/>
            <w:vAlign w:val="center"/>
          </w:tcPr>
          <w:p w:rsidR="006B67F6" w:rsidRDefault="006B67F6">
            <w:pPr>
              <w:rPr>
                <w:rFonts w:ascii="Calibri" w:hAnsi="Calibri"/>
                <w:color w:val="000000"/>
              </w:rPr>
            </w:pPr>
          </w:p>
        </w:tc>
        <w:tc>
          <w:tcPr>
            <w:tcW w:w="1361" w:type="dxa"/>
            <w:vAlign w:val="center"/>
          </w:tcPr>
          <w:p w:rsidR="006B67F6" w:rsidRDefault="006B67F6">
            <w:pPr>
              <w:rPr>
                <w:rFonts w:ascii="Calibri" w:hAnsi="Calibri"/>
                <w:color w:val="000000"/>
              </w:rPr>
            </w:pPr>
            <w:r>
              <w:rPr>
                <w:rFonts w:ascii="Calibri" w:hAnsi="Calibri"/>
                <w:color w:val="000000"/>
              </w:rPr>
              <w:t>0.004</w:t>
            </w:r>
          </w:p>
        </w:tc>
      </w:tr>
      <w:tr w:rsidR="006B67F6" w:rsidRPr="00724F7E" w:rsidTr="00326B4F">
        <w:trPr>
          <w:trHeight w:val="254"/>
          <w:jc w:val="center"/>
        </w:trPr>
        <w:tc>
          <w:tcPr>
            <w:tcW w:w="1247" w:type="dxa"/>
            <w:vMerge/>
            <w:vAlign w:val="center"/>
          </w:tcPr>
          <w:p w:rsidR="006B67F6" w:rsidRDefault="006B67F6" w:rsidP="00CB3BD3">
            <w:pPr>
              <w:rPr>
                <w:rFonts w:ascii="Calibri" w:hAnsi="Calibri"/>
                <w:color w:val="000000"/>
                <w:sz w:val="20"/>
                <w:szCs w:val="20"/>
              </w:rPr>
            </w:pPr>
          </w:p>
        </w:tc>
        <w:tc>
          <w:tcPr>
            <w:tcW w:w="236" w:type="dxa"/>
          </w:tcPr>
          <w:p w:rsidR="006B67F6" w:rsidRPr="00724F7E" w:rsidRDefault="006B67F6" w:rsidP="00CB3BD3">
            <w:pPr>
              <w:jc w:val="center"/>
              <w:rPr>
                <w:sz w:val="20"/>
                <w:szCs w:val="20"/>
              </w:rPr>
            </w:pPr>
          </w:p>
        </w:tc>
        <w:tc>
          <w:tcPr>
            <w:tcW w:w="1361" w:type="dxa"/>
            <w:vAlign w:val="center"/>
          </w:tcPr>
          <w:p w:rsidR="006B67F6" w:rsidRDefault="006B67F6">
            <w:pPr>
              <w:jc w:val="right"/>
              <w:rPr>
                <w:rFonts w:ascii="Calibri" w:hAnsi="Calibri"/>
                <w:color w:val="000000"/>
                <w:sz w:val="18"/>
                <w:szCs w:val="18"/>
              </w:rPr>
            </w:pPr>
            <w:r>
              <w:rPr>
                <w:rFonts w:ascii="Calibri" w:hAnsi="Calibri"/>
                <w:color w:val="000000"/>
                <w:sz w:val="18"/>
                <w:szCs w:val="18"/>
              </w:rPr>
              <w:t>1.89%</w:t>
            </w:r>
          </w:p>
        </w:tc>
        <w:tc>
          <w:tcPr>
            <w:tcW w:w="236" w:type="dxa"/>
            <w:vAlign w:val="center"/>
          </w:tcPr>
          <w:p w:rsidR="006B67F6" w:rsidRDefault="006B67F6">
            <w:pPr>
              <w:jc w:val="right"/>
              <w:rPr>
                <w:rFonts w:ascii="Calibri" w:hAnsi="Calibri"/>
                <w:color w:val="000000"/>
                <w:sz w:val="18"/>
                <w:szCs w:val="18"/>
              </w:rPr>
            </w:pPr>
          </w:p>
        </w:tc>
        <w:tc>
          <w:tcPr>
            <w:tcW w:w="1361" w:type="dxa"/>
            <w:vAlign w:val="center"/>
          </w:tcPr>
          <w:p w:rsidR="006B67F6" w:rsidRDefault="006B67F6">
            <w:pPr>
              <w:jc w:val="right"/>
              <w:rPr>
                <w:rFonts w:ascii="Calibri" w:hAnsi="Calibri"/>
                <w:color w:val="000000"/>
                <w:sz w:val="18"/>
                <w:szCs w:val="18"/>
              </w:rPr>
            </w:pPr>
            <w:r>
              <w:rPr>
                <w:rFonts w:ascii="Calibri" w:hAnsi="Calibri"/>
                <w:color w:val="000000"/>
                <w:sz w:val="18"/>
                <w:szCs w:val="18"/>
              </w:rPr>
              <w:t>12.76%</w:t>
            </w:r>
          </w:p>
        </w:tc>
        <w:tc>
          <w:tcPr>
            <w:tcW w:w="236" w:type="dxa"/>
            <w:vAlign w:val="center"/>
          </w:tcPr>
          <w:p w:rsidR="006B67F6" w:rsidRDefault="006B67F6">
            <w:pPr>
              <w:jc w:val="right"/>
              <w:rPr>
                <w:rFonts w:ascii="Calibri" w:hAnsi="Calibri"/>
                <w:color w:val="000000"/>
                <w:sz w:val="18"/>
                <w:szCs w:val="18"/>
              </w:rPr>
            </w:pPr>
          </w:p>
        </w:tc>
        <w:tc>
          <w:tcPr>
            <w:tcW w:w="1361" w:type="dxa"/>
            <w:vAlign w:val="center"/>
          </w:tcPr>
          <w:p w:rsidR="006B67F6" w:rsidRDefault="006B67F6">
            <w:pPr>
              <w:jc w:val="right"/>
              <w:rPr>
                <w:rFonts w:ascii="Calibri" w:hAnsi="Calibri"/>
                <w:color w:val="000000"/>
                <w:sz w:val="18"/>
                <w:szCs w:val="18"/>
              </w:rPr>
            </w:pPr>
            <w:r>
              <w:rPr>
                <w:rFonts w:ascii="Calibri" w:hAnsi="Calibri"/>
                <w:color w:val="000000"/>
                <w:sz w:val="18"/>
                <w:szCs w:val="18"/>
              </w:rPr>
              <w:t>8.61%</w:t>
            </w:r>
          </w:p>
        </w:tc>
        <w:tc>
          <w:tcPr>
            <w:tcW w:w="236" w:type="dxa"/>
            <w:vAlign w:val="center"/>
          </w:tcPr>
          <w:p w:rsidR="006B67F6" w:rsidRDefault="006B67F6">
            <w:pPr>
              <w:jc w:val="right"/>
              <w:rPr>
                <w:rFonts w:ascii="Calibri" w:hAnsi="Calibri"/>
                <w:color w:val="000000"/>
                <w:sz w:val="18"/>
                <w:szCs w:val="18"/>
              </w:rPr>
            </w:pPr>
          </w:p>
        </w:tc>
        <w:tc>
          <w:tcPr>
            <w:tcW w:w="1361" w:type="dxa"/>
            <w:vAlign w:val="center"/>
          </w:tcPr>
          <w:p w:rsidR="006B67F6" w:rsidRDefault="006B67F6">
            <w:pPr>
              <w:jc w:val="right"/>
              <w:rPr>
                <w:rFonts w:ascii="Calibri" w:hAnsi="Calibri"/>
                <w:color w:val="000000"/>
                <w:sz w:val="18"/>
                <w:szCs w:val="18"/>
              </w:rPr>
            </w:pPr>
            <w:r>
              <w:rPr>
                <w:rFonts w:ascii="Calibri" w:hAnsi="Calibri"/>
                <w:color w:val="000000"/>
                <w:sz w:val="18"/>
                <w:szCs w:val="18"/>
              </w:rPr>
              <w:t>0.02%</w:t>
            </w:r>
          </w:p>
        </w:tc>
      </w:tr>
      <w:tr w:rsidR="006B67F6" w:rsidRPr="00724F7E" w:rsidTr="00326B4F">
        <w:trPr>
          <w:trHeight w:val="254"/>
          <w:jc w:val="center"/>
        </w:trPr>
        <w:tc>
          <w:tcPr>
            <w:tcW w:w="1247" w:type="dxa"/>
            <w:vMerge w:val="restart"/>
            <w:vAlign w:val="center"/>
          </w:tcPr>
          <w:p w:rsidR="006B67F6" w:rsidRDefault="006B67F6" w:rsidP="00CB3BD3">
            <w:pPr>
              <w:rPr>
                <w:rFonts w:ascii="Calibri" w:hAnsi="Calibri"/>
                <w:color w:val="000000"/>
                <w:sz w:val="20"/>
                <w:szCs w:val="20"/>
              </w:rPr>
            </w:pPr>
            <w:r>
              <w:rPr>
                <w:rFonts w:ascii="Calibri" w:hAnsi="Calibri"/>
                <w:color w:val="000000"/>
                <w:sz w:val="20"/>
                <w:szCs w:val="20"/>
              </w:rPr>
              <w:t>Austria</w:t>
            </w:r>
          </w:p>
        </w:tc>
        <w:tc>
          <w:tcPr>
            <w:tcW w:w="236" w:type="dxa"/>
          </w:tcPr>
          <w:p w:rsidR="006B67F6" w:rsidRPr="00724F7E" w:rsidRDefault="006B67F6" w:rsidP="00CB3BD3">
            <w:pPr>
              <w:jc w:val="center"/>
              <w:rPr>
                <w:sz w:val="20"/>
                <w:szCs w:val="20"/>
              </w:rPr>
            </w:pPr>
          </w:p>
        </w:tc>
        <w:tc>
          <w:tcPr>
            <w:tcW w:w="1361" w:type="dxa"/>
            <w:vAlign w:val="center"/>
          </w:tcPr>
          <w:p w:rsidR="006B67F6" w:rsidRDefault="006B67F6">
            <w:pPr>
              <w:rPr>
                <w:rFonts w:ascii="Calibri" w:hAnsi="Calibri"/>
                <w:b/>
                <w:bCs/>
                <w:color w:val="FF0000"/>
              </w:rPr>
            </w:pPr>
            <w:r>
              <w:rPr>
                <w:rFonts w:ascii="Calibri" w:hAnsi="Calibri"/>
                <w:b/>
                <w:bCs/>
                <w:color w:val="FF0000"/>
              </w:rPr>
              <w:t>-0.029 ***</w:t>
            </w:r>
          </w:p>
        </w:tc>
        <w:tc>
          <w:tcPr>
            <w:tcW w:w="236" w:type="dxa"/>
            <w:vAlign w:val="center"/>
          </w:tcPr>
          <w:p w:rsidR="006B67F6" w:rsidRDefault="006B67F6">
            <w:pPr>
              <w:rPr>
                <w:rFonts w:ascii="Calibri" w:hAnsi="Calibri"/>
                <w:b/>
                <w:bCs/>
                <w:color w:val="FF0000"/>
              </w:rPr>
            </w:pPr>
          </w:p>
        </w:tc>
        <w:tc>
          <w:tcPr>
            <w:tcW w:w="1361" w:type="dxa"/>
            <w:vAlign w:val="center"/>
          </w:tcPr>
          <w:p w:rsidR="006B67F6" w:rsidRDefault="006B67F6">
            <w:pPr>
              <w:rPr>
                <w:rFonts w:ascii="Calibri" w:hAnsi="Calibri"/>
                <w:b/>
                <w:bCs/>
                <w:color w:val="FF0000"/>
              </w:rPr>
            </w:pPr>
            <w:r>
              <w:rPr>
                <w:rFonts w:ascii="Calibri" w:hAnsi="Calibri"/>
                <w:b/>
                <w:bCs/>
                <w:color w:val="FF0000"/>
              </w:rPr>
              <w:t>-0.044 ***</w:t>
            </w:r>
          </w:p>
        </w:tc>
        <w:tc>
          <w:tcPr>
            <w:tcW w:w="236" w:type="dxa"/>
            <w:vAlign w:val="center"/>
          </w:tcPr>
          <w:p w:rsidR="006B67F6" w:rsidRDefault="006B67F6">
            <w:pPr>
              <w:rPr>
                <w:rFonts w:ascii="Calibri" w:hAnsi="Calibri"/>
                <w:b/>
                <w:bCs/>
                <w:color w:val="FF0000"/>
              </w:rPr>
            </w:pPr>
          </w:p>
        </w:tc>
        <w:tc>
          <w:tcPr>
            <w:tcW w:w="1361" w:type="dxa"/>
            <w:vAlign w:val="center"/>
          </w:tcPr>
          <w:p w:rsidR="006B67F6" w:rsidRDefault="006B67F6">
            <w:pPr>
              <w:rPr>
                <w:rFonts w:ascii="Calibri" w:hAnsi="Calibri"/>
                <w:b/>
                <w:bCs/>
                <w:color w:val="FF0000"/>
              </w:rPr>
            </w:pPr>
            <w:r>
              <w:rPr>
                <w:rFonts w:ascii="Calibri" w:hAnsi="Calibri"/>
                <w:b/>
                <w:bCs/>
                <w:color w:val="FF0000"/>
              </w:rPr>
              <w:t>-0.059 ***</w:t>
            </w:r>
          </w:p>
        </w:tc>
        <w:tc>
          <w:tcPr>
            <w:tcW w:w="236" w:type="dxa"/>
            <w:vAlign w:val="center"/>
          </w:tcPr>
          <w:p w:rsidR="006B67F6" w:rsidRDefault="006B67F6">
            <w:pPr>
              <w:rPr>
                <w:rFonts w:ascii="Calibri" w:hAnsi="Calibri"/>
                <w:color w:val="000000"/>
              </w:rPr>
            </w:pPr>
          </w:p>
        </w:tc>
        <w:tc>
          <w:tcPr>
            <w:tcW w:w="1361" w:type="dxa"/>
            <w:vAlign w:val="center"/>
          </w:tcPr>
          <w:p w:rsidR="006B67F6" w:rsidRDefault="006B67F6">
            <w:pPr>
              <w:rPr>
                <w:rFonts w:ascii="Calibri" w:hAnsi="Calibri"/>
                <w:color w:val="000000"/>
              </w:rPr>
            </w:pPr>
            <w:r>
              <w:rPr>
                <w:rFonts w:ascii="Calibri" w:hAnsi="Calibri"/>
                <w:color w:val="000000"/>
              </w:rPr>
              <w:t>0.004</w:t>
            </w:r>
          </w:p>
        </w:tc>
      </w:tr>
      <w:tr w:rsidR="006B67F6" w:rsidRPr="00724F7E" w:rsidTr="00326B4F">
        <w:trPr>
          <w:trHeight w:val="254"/>
          <w:jc w:val="center"/>
        </w:trPr>
        <w:tc>
          <w:tcPr>
            <w:tcW w:w="1247" w:type="dxa"/>
            <w:vMerge/>
            <w:vAlign w:val="center"/>
          </w:tcPr>
          <w:p w:rsidR="006B67F6" w:rsidRDefault="006B67F6" w:rsidP="00CB3BD3">
            <w:pPr>
              <w:rPr>
                <w:rFonts w:ascii="Calibri" w:hAnsi="Calibri"/>
                <w:color w:val="000000"/>
                <w:sz w:val="20"/>
                <w:szCs w:val="20"/>
              </w:rPr>
            </w:pPr>
          </w:p>
        </w:tc>
        <w:tc>
          <w:tcPr>
            <w:tcW w:w="236" w:type="dxa"/>
          </w:tcPr>
          <w:p w:rsidR="006B67F6" w:rsidRPr="00724F7E" w:rsidRDefault="006B67F6" w:rsidP="00CB3BD3">
            <w:pPr>
              <w:jc w:val="center"/>
              <w:rPr>
                <w:sz w:val="20"/>
                <w:szCs w:val="20"/>
              </w:rPr>
            </w:pPr>
          </w:p>
        </w:tc>
        <w:tc>
          <w:tcPr>
            <w:tcW w:w="1361" w:type="dxa"/>
            <w:vAlign w:val="center"/>
          </w:tcPr>
          <w:p w:rsidR="006B67F6" w:rsidRDefault="006B67F6">
            <w:pPr>
              <w:jc w:val="right"/>
              <w:rPr>
                <w:rFonts w:ascii="Calibri" w:hAnsi="Calibri"/>
                <w:color w:val="000000"/>
                <w:sz w:val="18"/>
                <w:szCs w:val="18"/>
              </w:rPr>
            </w:pPr>
            <w:r>
              <w:rPr>
                <w:rFonts w:ascii="Calibri" w:hAnsi="Calibri"/>
                <w:color w:val="000000"/>
                <w:sz w:val="18"/>
                <w:szCs w:val="18"/>
              </w:rPr>
              <w:t>1.74%</w:t>
            </w:r>
          </w:p>
        </w:tc>
        <w:tc>
          <w:tcPr>
            <w:tcW w:w="236" w:type="dxa"/>
            <w:vAlign w:val="center"/>
          </w:tcPr>
          <w:p w:rsidR="006B67F6" w:rsidRDefault="006B67F6">
            <w:pPr>
              <w:jc w:val="right"/>
              <w:rPr>
                <w:rFonts w:ascii="Calibri" w:hAnsi="Calibri"/>
                <w:color w:val="000000"/>
                <w:sz w:val="18"/>
                <w:szCs w:val="18"/>
              </w:rPr>
            </w:pPr>
          </w:p>
        </w:tc>
        <w:tc>
          <w:tcPr>
            <w:tcW w:w="1361" w:type="dxa"/>
            <w:vAlign w:val="center"/>
          </w:tcPr>
          <w:p w:rsidR="006B67F6" w:rsidRDefault="006B67F6">
            <w:pPr>
              <w:jc w:val="right"/>
              <w:rPr>
                <w:rFonts w:ascii="Calibri" w:hAnsi="Calibri"/>
                <w:color w:val="000000"/>
                <w:sz w:val="18"/>
                <w:szCs w:val="18"/>
              </w:rPr>
            </w:pPr>
            <w:r>
              <w:rPr>
                <w:rFonts w:ascii="Calibri" w:hAnsi="Calibri"/>
                <w:color w:val="000000"/>
                <w:sz w:val="18"/>
                <w:szCs w:val="18"/>
              </w:rPr>
              <w:t>6.79%</w:t>
            </w:r>
          </w:p>
        </w:tc>
        <w:tc>
          <w:tcPr>
            <w:tcW w:w="236" w:type="dxa"/>
            <w:vAlign w:val="center"/>
          </w:tcPr>
          <w:p w:rsidR="006B67F6" w:rsidRDefault="006B67F6">
            <w:pPr>
              <w:jc w:val="right"/>
              <w:rPr>
                <w:rFonts w:ascii="Calibri" w:hAnsi="Calibri"/>
                <w:color w:val="000000"/>
                <w:sz w:val="18"/>
                <w:szCs w:val="18"/>
              </w:rPr>
            </w:pPr>
          </w:p>
        </w:tc>
        <w:tc>
          <w:tcPr>
            <w:tcW w:w="1361" w:type="dxa"/>
            <w:vAlign w:val="center"/>
          </w:tcPr>
          <w:p w:rsidR="006B67F6" w:rsidRDefault="006B67F6">
            <w:pPr>
              <w:jc w:val="right"/>
              <w:rPr>
                <w:rFonts w:ascii="Calibri" w:hAnsi="Calibri"/>
                <w:color w:val="000000"/>
                <w:sz w:val="18"/>
                <w:szCs w:val="18"/>
              </w:rPr>
            </w:pPr>
            <w:r>
              <w:rPr>
                <w:rFonts w:ascii="Calibri" w:hAnsi="Calibri"/>
                <w:color w:val="000000"/>
                <w:sz w:val="18"/>
                <w:szCs w:val="18"/>
              </w:rPr>
              <w:t>6.37%</w:t>
            </w:r>
          </w:p>
        </w:tc>
        <w:tc>
          <w:tcPr>
            <w:tcW w:w="236" w:type="dxa"/>
            <w:vAlign w:val="center"/>
          </w:tcPr>
          <w:p w:rsidR="006B67F6" w:rsidRDefault="006B67F6">
            <w:pPr>
              <w:jc w:val="right"/>
              <w:rPr>
                <w:rFonts w:ascii="Calibri" w:hAnsi="Calibri"/>
                <w:color w:val="000000"/>
                <w:sz w:val="18"/>
                <w:szCs w:val="18"/>
              </w:rPr>
            </w:pPr>
          </w:p>
        </w:tc>
        <w:tc>
          <w:tcPr>
            <w:tcW w:w="1361" w:type="dxa"/>
            <w:vAlign w:val="center"/>
          </w:tcPr>
          <w:p w:rsidR="006B67F6" w:rsidRDefault="006B67F6">
            <w:pPr>
              <w:jc w:val="right"/>
              <w:rPr>
                <w:rFonts w:ascii="Calibri" w:hAnsi="Calibri"/>
                <w:color w:val="000000"/>
                <w:sz w:val="18"/>
                <w:szCs w:val="18"/>
              </w:rPr>
            </w:pPr>
            <w:r>
              <w:rPr>
                <w:rFonts w:ascii="Calibri" w:hAnsi="Calibri"/>
                <w:color w:val="000000"/>
                <w:sz w:val="18"/>
                <w:szCs w:val="18"/>
              </w:rPr>
              <w:t>0.02%</w:t>
            </w:r>
          </w:p>
        </w:tc>
      </w:tr>
      <w:tr w:rsidR="006B67F6" w:rsidRPr="00724F7E" w:rsidTr="00326B4F">
        <w:trPr>
          <w:trHeight w:val="254"/>
          <w:jc w:val="center"/>
        </w:trPr>
        <w:tc>
          <w:tcPr>
            <w:tcW w:w="1247" w:type="dxa"/>
            <w:vMerge w:val="restart"/>
            <w:vAlign w:val="center"/>
          </w:tcPr>
          <w:p w:rsidR="006B67F6" w:rsidRDefault="006B67F6" w:rsidP="00CB3BD3">
            <w:pPr>
              <w:rPr>
                <w:rFonts w:ascii="Calibri" w:hAnsi="Calibri"/>
                <w:color w:val="000000"/>
                <w:sz w:val="20"/>
                <w:szCs w:val="20"/>
              </w:rPr>
            </w:pPr>
            <w:r>
              <w:rPr>
                <w:rFonts w:ascii="Calibri" w:hAnsi="Calibri"/>
                <w:color w:val="000000"/>
                <w:sz w:val="20"/>
                <w:szCs w:val="20"/>
              </w:rPr>
              <w:t>Belgium</w:t>
            </w:r>
          </w:p>
        </w:tc>
        <w:tc>
          <w:tcPr>
            <w:tcW w:w="236" w:type="dxa"/>
          </w:tcPr>
          <w:p w:rsidR="006B67F6" w:rsidRPr="00724F7E" w:rsidRDefault="006B67F6" w:rsidP="00CB3BD3">
            <w:pPr>
              <w:jc w:val="center"/>
              <w:rPr>
                <w:sz w:val="20"/>
                <w:szCs w:val="20"/>
              </w:rPr>
            </w:pPr>
          </w:p>
        </w:tc>
        <w:tc>
          <w:tcPr>
            <w:tcW w:w="1361" w:type="dxa"/>
            <w:vAlign w:val="center"/>
          </w:tcPr>
          <w:p w:rsidR="006B67F6" w:rsidRDefault="006B67F6">
            <w:pPr>
              <w:rPr>
                <w:rFonts w:ascii="Calibri" w:hAnsi="Calibri"/>
                <w:b/>
                <w:bCs/>
                <w:color w:val="FF0000"/>
              </w:rPr>
            </w:pPr>
            <w:r>
              <w:rPr>
                <w:rFonts w:ascii="Calibri" w:hAnsi="Calibri"/>
                <w:b/>
                <w:bCs/>
                <w:color w:val="FF0000"/>
              </w:rPr>
              <w:t>-0.039 ***</w:t>
            </w:r>
          </w:p>
        </w:tc>
        <w:tc>
          <w:tcPr>
            <w:tcW w:w="236" w:type="dxa"/>
            <w:vAlign w:val="center"/>
          </w:tcPr>
          <w:p w:rsidR="006B67F6" w:rsidRDefault="006B67F6">
            <w:pPr>
              <w:rPr>
                <w:rFonts w:ascii="Calibri" w:hAnsi="Calibri"/>
                <w:b/>
                <w:bCs/>
                <w:color w:val="FF0000"/>
              </w:rPr>
            </w:pPr>
          </w:p>
        </w:tc>
        <w:tc>
          <w:tcPr>
            <w:tcW w:w="1361" w:type="dxa"/>
            <w:vAlign w:val="center"/>
          </w:tcPr>
          <w:p w:rsidR="006B67F6" w:rsidRDefault="006B67F6">
            <w:pPr>
              <w:rPr>
                <w:rFonts w:ascii="Calibri" w:hAnsi="Calibri"/>
                <w:b/>
                <w:bCs/>
                <w:color w:val="FF0000"/>
              </w:rPr>
            </w:pPr>
            <w:r>
              <w:rPr>
                <w:rFonts w:ascii="Calibri" w:hAnsi="Calibri"/>
                <w:b/>
                <w:bCs/>
                <w:color w:val="FF0000"/>
              </w:rPr>
              <w:t>-0.063 ***</w:t>
            </w:r>
          </w:p>
        </w:tc>
        <w:tc>
          <w:tcPr>
            <w:tcW w:w="236" w:type="dxa"/>
            <w:vAlign w:val="center"/>
          </w:tcPr>
          <w:p w:rsidR="006B67F6" w:rsidRDefault="006B67F6">
            <w:pPr>
              <w:rPr>
                <w:rFonts w:ascii="Calibri" w:hAnsi="Calibri"/>
                <w:color w:val="000000"/>
              </w:rPr>
            </w:pPr>
          </w:p>
        </w:tc>
        <w:tc>
          <w:tcPr>
            <w:tcW w:w="1361" w:type="dxa"/>
            <w:vAlign w:val="center"/>
          </w:tcPr>
          <w:p w:rsidR="006B67F6" w:rsidRDefault="006B67F6">
            <w:pPr>
              <w:rPr>
                <w:rFonts w:ascii="Calibri" w:hAnsi="Calibri"/>
                <w:color w:val="000000"/>
              </w:rPr>
            </w:pPr>
            <w:r>
              <w:rPr>
                <w:rFonts w:ascii="Calibri" w:hAnsi="Calibri"/>
                <w:color w:val="000000"/>
              </w:rPr>
              <w:t>0.013</w:t>
            </w:r>
          </w:p>
        </w:tc>
        <w:tc>
          <w:tcPr>
            <w:tcW w:w="236" w:type="dxa"/>
            <w:vAlign w:val="center"/>
          </w:tcPr>
          <w:p w:rsidR="006B67F6" w:rsidRDefault="006B67F6">
            <w:pPr>
              <w:rPr>
                <w:rFonts w:ascii="Calibri" w:hAnsi="Calibri"/>
                <w:color w:val="000000"/>
              </w:rPr>
            </w:pPr>
          </w:p>
        </w:tc>
        <w:tc>
          <w:tcPr>
            <w:tcW w:w="1361" w:type="dxa"/>
            <w:vAlign w:val="center"/>
          </w:tcPr>
          <w:p w:rsidR="006B67F6" w:rsidRDefault="006B67F6">
            <w:pPr>
              <w:rPr>
                <w:rFonts w:ascii="Calibri" w:hAnsi="Calibri"/>
                <w:b/>
                <w:bCs/>
                <w:color w:val="548DD4"/>
              </w:rPr>
            </w:pPr>
            <w:r>
              <w:rPr>
                <w:rFonts w:ascii="Calibri" w:hAnsi="Calibri"/>
                <w:b/>
                <w:bCs/>
                <w:color w:val="548DD4"/>
              </w:rPr>
              <w:t>0.030 **</w:t>
            </w:r>
          </w:p>
        </w:tc>
      </w:tr>
      <w:tr w:rsidR="006B67F6" w:rsidRPr="00724F7E" w:rsidTr="00326B4F">
        <w:trPr>
          <w:trHeight w:val="254"/>
          <w:jc w:val="center"/>
        </w:trPr>
        <w:tc>
          <w:tcPr>
            <w:tcW w:w="1247" w:type="dxa"/>
            <w:vMerge/>
            <w:vAlign w:val="center"/>
          </w:tcPr>
          <w:p w:rsidR="006B67F6" w:rsidRDefault="006B67F6" w:rsidP="00CB3BD3">
            <w:pPr>
              <w:rPr>
                <w:rFonts w:ascii="Calibri" w:hAnsi="Calibri"/>
                <w:color w:val="000000"/>
                <w:sz w:val="20"/>
                <w:szCs w:val="20"/>
              </w:rPr>
            </w:pPr>
          </w:p>
        </w:tc>
        <w:tc>
          <w:tcPr>
            <w:tcW w:w="236" w:type="dxa"/>
          </w:tcPr>
          <w:p w:rsidR="006B67F6" w:rsidRPr="00724F7E" w:rsidRDefault="006B67F6" w:rsidP="00CB3BD3">
            <w:pPr>
              <w:jc w:val="center"/>
              <w:rPr>
                <w:sz w:val="20"/>
                <w:szCs w:val="20"/>
              </w:rPr>
            </w:pPr>
          </w:p>
        </w:tc>
        <w:tc>
          <w:tcPr>
            <w:tcW w:w="1361" w:type="dxa"/>
            <w:vAlign w:val="center"/>
          </w:tcPr>
          <w:p w:rsidR="006B67F6" w:rsidRDefault="006B67F6">
            <w:pPr>
              <w:jc w:val="right"/>
              <w:rPr>
                <w:rFonts w:ascii="Calibri" w:hAnsi="Calibri"/>
                <w:color w:val="000000"/>
                <w:sz w:val="18"/>
                <w:szCs w:val="18"/>
              </w:rPr>
            </w:pPr>
            <w:r>
              <w:rPr>
                <w:rFonts w:ascii="Calibri" w:hAnsi="Calibri"/>
                <w:color w:val="000000"/>
                <w:sz w:val="18"/>
                <w:szCs w:val="18"/>
              </w:rPr>
              <w:t>1.40%</w:t>
            </w:r>
          </w:p>
        </w:tc>
        <w:tc>
          <w:tcPr>
            <w:tcW w:w="236" w:type="dxa"/>
            <w:vAlign w:val="center"/>
          </w:tcPr>
          <w:p w:rsidR="006B67F6" w:rsidRDefault="006B67F6">
            <w:pPr>
              <w:jc w:val="right"/>
              <w:rPr>
                <w:rFonts w:ascii="Calibri" w:hAnsi="Calibri"/>
                <w:color w:val="000000"/>
                <w:sz w:val="18"/>
                <w:szCs w:val="18"/>
              </w:rPr>
            </w:pPr>
          </w:p>
        </w:tc>
        <w:tc>
          <w:tcPr>
            <w:tcW w:w="1361" w:type="dxa"/>
            <w:vAlign w:val="center"/>
          </w:tcPr>
          <w:p w:rsidR="006B67F6" w:rsidRDefault="006B67F6">
            <w:pPr>
              <w:jc w:val="right"/>
              <w:rPr>
                <w:rFonts w:ascii="Calibri" w:hAnsi="Calibri"/>
                <w:color w:val="000000"/>
                <w:sz w:val="18"/>
                <w:szCs w:val="18"/>
              </w:rPr>
            </w:pPr>
            <w:r>
              <w:rPr>
                <w:rFonts w:ascii="Calibri" w:hAnsi="Calibri"/>
                <w:color w:val="000000"/>
                <w:sz w:val="18"/>
                <w:szCs w:val="18"/>
              </w:rPr>
              <w:t>10.26%</w:t>
            </w:r>
          </w:p>
        </w:tc>
        <w:tc>
          <w:tcPr>
            <w:tcW w:w="236" w:type="dxa"/>
            <w:vAlign w:val="center"/>
          </w:tcPr>
          <w:p w:rsidR="006B67F6" w:rsidRDefault="006B67F6">
            <w:pPr>
              <w:jc w:val="right"/>
              <w:rPr>
                <w:rFonts w:ascii="Calibri" w:hAnsi="Calibri"/>
                <w:color w:val="000000"/>
                <w:sz w:val="18"/>
                <w:szCs w:val="18"/>
              </w:rPr>
            </w:pPr>
          </w:p>
        </w:tc>
        <w:tc>
          <w:tcPr>
            <w:tcW w:w="1361" w:type="dxa"/>
            <w:vAlign w:val="center"/>
          </w:tcPr>
          <w:p w:rsidR="006B67F6" w:rsidRDefault="006B67F6">
            <w:pPr>
              <w:jc w:val="right"/>
              <w:rPr>
                <w:rFonts w:ascii="Calibri" w:hAnsi="Calibri"/>
                <w:color w:val="000000"/>
                <w:sz w:val="18"/>
                <w:szCs w:val="18"/>
              </w:rPr>
            </w:pPr>
            <w:r>
              <w:rPr>
                <w:rFonts w:ascii="Calibri" w:hAnsi="Calibri"/>
                <w:color w:val="000000"/>
                <w:sz w:val="18"/>
                <w:szCs w:val="18"/>
              </w:rPr>
              <w:t>0.16%</w:t>
            </w:r>
          </w:p>
        </w:tc>
        <w:tc>
          <w:tcPr>
            <w:tcW w:w="236" w:type="dxa"/>
            <w:vAlign w:val="center"/>
          </w:tcPr>
          <w:p w:rsidR="006B67F6" w:rsidRDefault="006B67F6">
            <w:pPr>
              <w:jc w:val="right"/>
              <w:rPr>
                <w:rFonts w:ascii="Calibri" w:hAnsi="Calibri"/>
                <w:color w:val="000000"/>
                <w:sz w:val="18"/>
                <w:szCs w:val="18"/>
              </w:rPr>
            </w:pPr>
          </w:p>
        </w:tc>
        <w:tc>
          <w:tcPr>
            <w:tcW w:w="1361" w:type="dxa"/>
            <w:vAlign w:val="center"/>
          </w:tcPr>
          <w:p w:rsidR="006B67F6" w:rsidRDefault="006B67F6">
            <w:pPr>
              <w:jc w:val="right"/>
              <w:rPr>
                <w:rFonts w:ascii="Calibri" w:hAnsi="Calibri"/>
                <w:color w:val="000000"/>
                <w:sz w:val="18"/>
                <w:szCs w:val="18"/>
              </w:rPr>
            </w:pPr>
            <w:r>
              <w:rPr>
                <w:rFonts w:ascii="Calibri" w:hAnsi="Calibri"/>
                <w:color w:val="000000"/>
                <w:sz w:val="18"/>
                <w:szCs w:val="18"/>
              </w:rPr>
              <w:t>0.93%</w:t>
            </w:r>
          </w:p>
        </w:tc>
      </w:tr>
      <w:tr w:rsidR="006B67F6" w:rsidRPr="00724F7E" w:rsidTr="00326B4F">
        <w:trPr>
          <w:trHeight w:val="254"/>
          <w:jc w:val="center"/>
        </w:trPr>
        <w:tc>
          <w:tcPr>
            <w:tcW w:w="1247" w:type="dxa"/>
            <w:vMerge w:val="restart"/>
            <w:vAlign w:val="center"/>
          </w:tcPr>
          <w:p w:rsidR="006B67F6" w:rsidRDefault="006B67F6" w:rsidP="00CB3BD3">
            <w:pPr>
              <w:rPr>
                <w:rFonts w:ascii="Calibri" w:hAnsi="Calibri"/>
                <w:color w:val="000000"/>
                <w:sz w:val="20"/>
                <w:szCs w:val="20"/>
              </w:rPr>
            </w:pPr>
            <w:r>
              <w:rPr>
                <w:rFonts w:ascii="Calibri" w:hAnsi="Calibri"/>
                <w:color w:val="000000"/>
                <w:sz w:val="20"/>
                <w:szCs w:val="20"/>
              </w:rPr>
              <w:t>Italy</w:t>
            </w:r>
          </w:p>
        </w:tc>
        <w:tc>
          <w:tcPr>
            <w:tcW w:w="236" w:type="dxa"/>
          </w:tcPr>
          <w:p w:rsidR="006B67F6" w:rsidRPr="00724F7E" w:rsidRDefault="006B67F6" w:rsidP="00CB3BD3">
            <w:pPr>
              <w:jc w:val="center"/>
              <w:rPr>
                <w:sz w:val="20"/>
                <w:szCs w:val="20"/>
              </w:rPr>
            </w:pPr>
          </w:p>
        </w:tc>
        <w:tc>
          <w:tcPr>
            <w:tcW w:w="1361" w:type="dxa"/>
            <w:vAlign w:val="center"/>
          </w:tcPr>
          <w:p w:rsidR="006B67F6" w:rsidRDefault="006B67F6">
            <w:pPr>
              <w:rPr>
                <w:rFonts w:ascii="Calibri" w:hAnsi="Calibri"/>
                <w:b/>
                <w:bCs/>
                <w:color w:val="FF0000"/>
              </w:rPr>
            </w:pPr>
            <w:r>
              <w:rPr>
                <w:rFonts w:ascii="Calibri" w:hAnsi="Calibri"/>
                <w:b/>
                <w:bCs/>
                <w:color w:val="FF0000"/>
              </w:rPr>
              <w:t>-0.020 **</w:t>
            </w:r>
          </w:p>
        </w:tc>
        <w:tc>
          <w:tcPr>
            <w:tcW w:w="236" w:type="dxa"/>
            <w:vAlign w:val="center"/>
          </w:tcPr>
          <w:p w:rsidR="006B67F6" w:rsidRDefault="006B67F6">
            <w:pPr>
              <w:rPr>
                <w:rFonts w:ascii="Calibri" w:hAnsi="Calibri"/>
                <w:b/>
                <w:bCs/>
                <w:color w:val="FF0000"/>
              </w:rPr>
            </w:pPr>
          </w:p>
        </w:tc>
        <w:tc>
          <w:tcPr>
            <w:tcW w:w="1361" w:type="dxa"/>
            <w:vAlign w:val="center"/>
          </w:tcPr>
          <w:p w:rsidR="006B67F6" w:rsidRDefault="006B67F6">
            <w:pPr>
              <w:rPr>
                <w:rFonts w:ascii="Calibri" w:hAnsi="Calibri"/>
                <w:b/>
                <w:bCs/>
                <w:color w:val="FF0000"/>
              </w:rPr>
            </w:pPr>
            <w:r>
              <w:rPr>
                <w:rFonts w:ascii="Calibri" w:hAnsi="Calibri"/>
                <w:b/>
                <w:bCs/>
                <w:color w:val="FF0000"/>
              </w:rPr>
              <w:t>-0.027 ***</w:t>
            </w:r>
          </w:p>
        </w:tc>
        <w:tc>
          <w:tcPr>
            <w:tcW w:w="236" w:type="dxa"/>
            <w:vAlign w:val="center"/>
          </w:tcPr>
          <w:p w:rsidR="006B67F6" w:rsidRDefault="006B67F6">
            <w:pPr>
              <w:rPr>
                <w:rFonts w:ascii="Calibri" w:hAnsi="Calibri"/>
                <w:color w:val="000000"/>
              </w:rPr>
            </w:pPr>
          </w:p>
        </w:tc>
        <w:tc>
          <w:tcPr>
            <w:tcW w:w="1361" w:type="dxa"/>
            <w:vAlign w:val="center"/>
          </w:tcPr>
          <w:p w:rsidR="006B67F6" w:rsidRDefault="006B67F6">
            <w:pPr>
              <w:rPr>
                <w:rFonts w:ascii="Calibri" w:hAnsi="Calibri"/>
                <w:b/>
                <w:bCs/>
                <w:color w:val="548DD4"/>
              </w:rPr>
            </w:pPr>
            <w:r>
              <w:rPr>
                <w:rFonts w:ascii="Calibri" w:hAnsi="Calibri"/>
                <w:b/>
                <w:bCs/>
                <w:color w:val="548DD4"/>
              </w:rPr>
              <w:t>0.094 ***</w:t>
            </w:r>
          </w:p>
        </w:tc>
        <w:tc>
          <w:tcPr>
            <w:tcW w:w="236" w:type="dxa"/>
            <w:vAlign w:val="center"/>
          </w:tcPr>
          <w:p w:rsidR="006B67F6" w:rsidRDefault="006B67F6">
            <w:pPr>
              <w:rPr>
                <w:rFonts w:ascii="Calibri" w:hAnsi="Calibri"/>
                <w:color w:val="000000"/>
              </w:rPr>
            </w:pPr>
          </w:p>
        </w:tc>
        <w:tc>
          <w:tcPr>
            <w:tcW w:w="1361" w:type="dxa"/>
            <w:vAlign w:val="center"/>
          </w:tcPr>
          <w:p w:rsidR="006B67F6" w:rsidRDefault="006B67F6">
            <w:pPr>
              <w:rPr>
                <w:rFonts w:ascii="Calibri" w:hAnsi="Calibri"/>
                <w:b/>
                <w:bCs/>
                <w:color w:val="548DD4"/>
              </w:rPr>
            </w:pPr>
            <w:r>
              <w:rPr>
                <w:rFonts w:ascii="Calibri" w:hAnsi="Calibri"/>
                <w:b/>
                <w:bCs/>
                <w:color w:val="548DD4"/>
              </w:rPr>
              <w:t>0.168 ***</w:t>
            </w:r>
          </w:p>
        </w:tc>
      </w:tr>
      <w:tr w:rsidR="006B67F6" w:rsidRPr="00724F7E" w:rsidTr="00326B4F">
        <w:trPr>
          <w:trHeight w:val="254"/>
          <w:jc w:val="center"/>
        </w:trPr>
        <w:tc>
          <w:tcPr>
            <w:tcW w:w="1247" w:type="dxa"/>
            <w:vMerge/>
            <w:vAlign w:val="center"/>
          </w:tcPr>
          <w:p w:rsidR="006B67F6" w:rsidRDefault="006B67F6" w:rsidP="00CB3BD3">
            <w:pPr>
              <w:rPr>
                <w:rFonts w:ascii="Calibri" w:hAnsi="Calibri"/>
                <w:color w:val="000000"/>
                <w:sz w:val="20"/>
                <w:szCs w:val="20"/>
              </w:rPr>
            </w:pPr>
          </w:p>
        </w:tc>
        <w:tc>
          <w:tcPr>
            <w:tcW w:w="236" w:type="dxa"/>
          </w:tcPr>
          <w:p w:rsidR="006B67F6" w:rsidRPr="00724F7E" w:rsidRDefault="006B67F6" w:rsidP="00CB3BD3">
            <w:pPr>
              <w:jc w:val="center"/>
              <w:rPr>
                <w:sz w:val="20"/>
                <w:szCs w:val="20"/>
              </w:rPr>
            </w:pPr>
          </w:p>
        </w:tc>
        <w:tc>
          <w:tcPr>
            <w:tcW w:w="1361" w:type="dxa"/>
            <w:vAlign w:val="center"/>
          </w:tcPr>
          <w:p w:rsidR="006B67F6" w:rsidRDefault="006B67F6">
            <w:pPr>
              <w:jc w:val="right"/>
              <w:rPr>
                <w:rFonts w:ascii="Calibri" w:hAnsi="Calibri"/>
                <w:color w:val="000000"/>
                <w:sz w:val="18"/>
                <w:szCs w:val="18"/>
              </w:rPr>
            </w:pPr>
            <w:r>
              <w:rPr>
                <w:rFonts w:ascii="Calibri" w:hAnsi="Calibri"/>
                <w:color w:val="000000"/>
                <w:sz w:val="18"/>
                <w:szCs w:val="18"/>
              </w:rPr>
              <w:t>0.54%</w:t>
            </w:r>
          </w:p>
        </w:tc>
        <w:tc>
          <w:tcPr>
            <w:tcW w:w="236" w:type="dxa"/>
            <w:vAlign w:val="center"/>
          </w:tcPr>
          <w:p w:rsidR="006B67F6" w:rsidRDefault="006B67F6">
            <w:pPr>
              <w:jc w:val="right"/>
              <w:rPr>
                <w:rFonts w:ascii="Calibri" w:hAnsi="Calibri"/>
                <w:color w:val="000000"/>
                <w:sz w:val="18"/>
                <w:szCs w:val="18"/>
              </w:rPr>
            </w:pPr>
          </w:p>
        </w:tc>
        <w:tc>
          <w:tcPr>
            <w:tcW w:w="1361" w:type="dxa"/>
            <w:vAlign w:val="center"/>
          </w:tcPr>
          <w:p w:rsidR="006B67F6" w:rsidRDefault="006B67F6">
            <w:pPr>
              <w:jc w:val="right"/>
              <w:rPr>
                <w:rFonts w:ascii="Calibri" w:hAnsi="Calibri"/>
                <w:color w:val="000000"/>
                <w:sz w:val="18"/>
                <w:szCs w:val="18"/>
              </w:rPr>
            </w:pPr>
            <w:r>
              <w:rPr>
                <w:rFonts w:ascii="Calibri" w:hAnsi="Calibri"/>
                <w:color w:val="000000"/>
                <w:sz w:val="18"/>
                <w:szCs w:val="18"/>
              </w:rPr>
              <w:t>3.17%</w:t>
            </w:r>
          </w:p>
        </w:tc>
        <w:tc>
          <w:tcPr>
            <w:tcW w:w="236" w:type="dxa"/>
            <w:vAlign w:val="center"/>
          </w:tcPr>
          <w:p w:rsidR="006B67F6" w:rsidRDefault="006B67F6">
            <w:pPr>
              <w:jc w:val="right"/>
              <w:rPr>
                <w:rFonts w:ascii="Calibri" w:hAnsi="Calibri"/>
                <w:color w:val="000000"/>
                <w:sz w:val="18"/>
                <w:szCs w:val="18"/>
              </w:rPr>
            </w:pPr>
          </w:p>
        </w:tc>
        <w:tc>
          <w:tcPr>
            <w:tcW w:w="1361" w:type="dxa"/>
            <w:vAlign w:val="center"/>
          </w:tcPr>
          <w:p w:rsidR="006B67F6" w:rsidRDefault="006B67F6">
            <w:pPr>
              <w:jc w:val="right"/>
              <w:rPr>
                <w:rFonts w:ascii="Calibri" w:hAnsi="Calibri"/>
                <w:color w:val="000000"/>
                <w:sz w:val="18"/>
                <w:szCs w:val="18"/>
              </w:rPr>
            </w:pPr>
            <w:r>
              <w:rPr>
                <w:rFonts w:ascii="Calibri" w:hAnsi="Calibri"/>
                <w:color w:val="000000"/>
                <w:sz w:val="18"/>
                <w:szCs w:val="18"/>
              </w:rPr>
              <w:t>12.53%</w:t>
            </w:r>
          </w:p>
        </w:tc>
        <w:tc>
          <w:tcPr>
            <w:tcW w:w="236" w:type="dxa"/>
            <w:vAlign w:val="center"/>
          </w:tcPr>
          <w:p w:rsidR="006B67F6" w:rsidRDefault="006B67F6">
            <w:pPr>
              <w:jc w:val="right"/>
              <w:rPr>
                <w:rFonts w:ascii="Calibri" w:hAnsi="Calibri"/>
                <w:color w:val="000000"/>
                <w:sz w:val="18"/>
                <w:szCs w:val="18"/>
              </w:rPr>
            </w:pPr>
          </w:p>
        </w:tc>
        <w:tc>
          <w:tcPr>
            <w:tcW w:w="1361" w:type="dxa"/>
            <w:vAlign w:val="center"/>
          </w:tcPr>
          <w:p w:rsidR="006B67F6" w:rsidRDefault="006B67F6">
            <w:pPr>
              <w:jc w:val="right"/>
              <w:rPr>
                <w:rFonts w:ascii="Calibri" w:hAnsi="Calibri"/>
                <w:color w:val="000000"/>
                <w:sz w:val="18"/>
                <w:szCs w:val="18"/>
              </w:rPr>
            </w:pPr>
            <w:r>
              <w:rPr>
                <w:rFonts w:ascii="Calibri" w:hAnsi="Calibri"/>
                <w:color w:val="000000"/>
                <w:sz w:val="18"/>
                <w:szCs w:val="18"/>
              </w:rPr>
              <w:t>28.13%</w:t>
            </w:r>
          </w:p>
        </w:tc>
      </w:tr>
      <w:tr w:rsidR="006B67F6" w:rsidRPr="00724F7E" w:rsidTr="00326B4F">
        <w:trPr>
          <w:trHeight w:val="254"/>
          <w:jc w:val="center"/>
        </w:trPr>
        <w:tc>
          <w:tcPr>
            <w:tcW w:w="1247" w:type="dxa"/>
            <w:vMerge w:val="restart"/>
            <w:vAlign w:val="center"/>
          </w:tcPr>
          <w:p w:rsidR="006B67F6" w:rsidRDefault="006B67F6" w:rsidP="00CB3BD3">
            <w:pPr>
              <w:rPr>
                <w:rFonts w:ascii="Calibri" w:hAnsi="Calibri"/>
                <w:color w:val="000000"/>
                <w:sz w:val="20"/>
                <w:szCs w:val="20"/>
              </w:rPr>
            </w:pPr>
            <w:r>
              <w:rPr>
                <w:rFonts w:ascii="Calibri" w:hAnsi="Calibri"/>
                <w:color w:val="000000"/>
                <w:sz w:val="20"/>
                <w:szCs w:val="20"/>
              </w:rPr>
              <w:t>Spain</w:t>
            </w:r>
          </w:p>
        </w:tc>
        <w:tc>
          <w:tcPr>
            <w:tcW w:w="236" w:type="dxa"/>
          </w:tcPr>
          <w:p w:rsidR="006B67F6" w:rsidRPr="00724F7E" w:rsidRDefault="006B67F6" w:rsidP="00CB3BD3">
            <w:pPr>
              <w:jc w:val="center"/>
              <w:rPr>
                <w:sz w:val="20"/>
                <w:szCs w:val="20"/>
              </w:rPr>
            </w:pPr>
          </w:p>
        </w:tc>
        <w:tc>
          <w:tcPr>
            <w:tcW w:w="1361" w:type="dxa"/>
            <w:vAlign w:val="center"/>
          </w:tcPr>
          <w:p w:rsidR="006B67F6" w:rsidRDefault="006B67F6">
            <w:pPr>
              <w:rPr>
                <w:rFonts w:ascii="Calibri" w:hAnsi="Calibri"/>
                <w:b/>
                <w:bCs/>
                <w:color w:val="FF0000"/>
              </w:rPr>
            </w:pPr>
            <w:r>
              <w:rPr>
                <w:rFonts w:ascii="Calibri" w:hAnsi="Calibri"/>
                <w:b/>
                <w:bCs/>
                <w:color w:val="FF0000"/>
              </w:rPr>
              <w:t>-0.029 ***</w:t>
            </w:r>
          </w:p>
        </w:tc>
        <w:tc>
          <w:tcPr>
            <w:tcW w:w="236" w:type="dxa"/>
            <w:vAlign w:val="center"/>
          </w:tcPr>
          <w:p w:rsidR="006B67F6" w:rsidRDefault="006B67F6">
            <w:pPr>
              <w:rPr>
                <w:rFonts w:ascii="Calibri" w:hAnsi="Calibri"/>
                <w:b/>
                <w:bCs/>
                <w:color w:val="FF0000"/>
              </w:rPr>
            </w:pPr>
          </w:p>
        </w:tc>
        <w:tc>
          <w:tcPr>
            <w:tcW w:w="1361" w:type="dxa"/>
            <w:vAlign w:val="center"/>
          </w:tcPr>
          <w:p w:rsidR="006B67F6" w:rsidRDefault="006B67F6">
            <w:pPr>
              <w:rPr>
                <w:rFonts w:ascii="Calibri" w:hAnsi="Calibri"/>
                <w:b/>
                <w:bCs/>
                <w:color w:val="FF0000"/>
              </w:rPr>
            </w:pPr>
            <w:r>
              <w:rPr>
                <w:rFonts w:ascii="Calibri" w:hAnsi="Calibri"/>
                <w:b/>
                <w:bCs/>
                <w:color w:val="FF0000"/>
              </w:rPr>
              <w:t>-0.059 ***</w:t>
            </w:r>
          </w:p>
        </w:tc>
        <w:tc>
          <w:tcPr>
            <w:tcW w:w="236" w:type="dxa"/>
            <w:vAlign w:val="center"/>
          </w:tcPr>
          <w:p w:rsidR="006B67F6" w:rsidRDefault="006B67F6">
            <w:pPr>
              <w:rPr>
                <w:rFonts w:ascii="Calibri" w:hAnsi="Calibri"/>
                <w:color w:val="000000"/>
              </w:rPr>
            </w:pPr>
          </w:p>
        </w:tc>
        <w:tc>
          <w:tcPr>
            <w:tcW w:w="1361" w:type="dxa"/>
            <w:vAlign w:val="center"/>
          </w:tcPr>
          <w:p w:rsidR="006B67F6" w:rsidRDefault="006B67F6">
            <w:pPr>
              <w:rPr>
                <w:rFonts w:ascii="Calibri" w:hAnsi="Calibri"/>
                <w:b/>
                <w:bCs/>
                <w:color w:val="548DD4"/>
              </w:rPr>
            </w:pPr>
            <w:r>
              <w:rPr>
                <w:rFonts w:ascii="Calibri" w:hAnsi="Calibri"/>
                <w:b/>
                <w:bCs/>
                <w:color w:val="548DD4"/>
              </w:rPr>
              <w:t>0.096 ***</w:t>
            </w:r>
          </w:p>
        </w:tc>
        <w:tc>
          <w:tcPr>
            <w:tcW w:w="236" w:type="dxa"/>
            <w:vAlign w:val="center"/>
          </w:tcPr>
          <w:p w:rsidR="006B67F6" w:rsidRDefault="006B67F6">
            <w:pPr>
              <w:rPr>
                <w:rFonts w:ascii="Calibri" w:hAnsi="Calibri"/>
                <w:b/>
                <w:bCs/>
                <w:color w:val="548DD4"/>
              </w:rPr>
            </w:pPr>
          </w:p>
        </w:tc>
        <w:tc>
          <w:tcPr>
            <w:tcW w:w="1361" w:type="dxa"/>
            <w:vAlign w:val="center"/>
          </w:tcPr>
          <w:p w:rsidR="006B67F6" w:rsidRDefault="006B67F6">
            <w:pPr>
              <w:rPr>
                <w:rFonts w:ascii="Calibri" w:hAnsi="Calibri"/>
                <w:b/>
                <w:bCs/>
                <w:color w:val="548DD4"/>
              </w:rPr>
            </w:pPr>
            <w:r>
              <w:rPr>
                <w:rFonts w:ascii="Calibri" w:hAnsi="Calibri"/>
                <w:b/>
                <w:bCs/>
                <w:color w:val="548DD4"/>
              </w:rPr>
              <w:t>0.180 ***</w:t>
            </w:r>
          </w:p>
        </w:tc>
      </w:tr>
      <w:tr w:rsidR="006B67F6" w:rsidRPr="00724F7E" w:rsidTr="00326B4F">
        <w:trPr>
          <w:trHeight w:val="254"/>
          <w:jc w:val="center"/>
        </w:trPr>
        <w:tc>
          <w:tcPr>
            <w:tcW w:w="1247" w:type="dxa"/>
            <w:vMerge/>
            <w:vAlign w:val="center"/>
          </w:tcPr>
          <w:p w:rsidR="006B67F6" w:rsidRDefault="006B67F6" w:rsidP="00CB3BD3">
            <w:pPr>
              <w:rPr>
                <w:rFonts w:ascii="Calibri" w:hAnsi="Calibri"/>
                <w:color w:val="000000"/>
                <w:sz w:val="20"/>
                <w:szCs w:val="20"/>
              </w:rPr>
            </w:pPr>
          </w:p>
        </w:tc>
        <w:tc>
          <w:tcPr>
            <w:tcW w:w="236" w:type="dxa"/>
          </w:tcPr>
          <w:p w:rsidR="006B67F6" w:rsidRPr="00724F7E" w:rsidRDefault="006B67F6" w:rsidP="00CB3BD3">
            <w:pPr>
              <w:jc w:val="center"/>
              <w:rPr>
                <w:sz w:val="20"/>
                <w:szCs w:val="20"/>
              </w:rPr>
            </w:pPr>
          </w:p>
        </w:tc>
        <w:tc>
          <w:tcPr>
            <w:tcW w:w="1361" w:type="dxa"/>
            <w:vAlign w:val="center"/>
          </w:tcPr>
          <w:p w:rsidR="006B67F6" w:rsidRDefault="006B67F6">
            <w:pPr>
              <w:jc w:val="right"/>
              <w:rPr>
                <w:rFonts w:ascii="Calibri" w:hAnsi="Calibri"/>
                <w:color w:val="000000"/>
                <w:sz w:val="18"/>
                <w:szCs w:val="18"/>
              </w:rPr>
            </w:pPr>
            <w:r>
              <w:rPr>
                <w:rFonts w:ascii="Calibri" w:hAnsi="Calibri"/>
                <w:color w:val="000000"/>
                <w:sz w:val="18"/>
                <w:szCs w:val="18"/>
              </w:rPr>
              <w:t>1.10%</w:t>
            </w:r>
          </w:p>
        </w:tc>
        <w:tc>
          <w:tcPr>
            <w:tcW w:w="236" w:type="dxa"/>
            <w:vAlign w:val="center"/>
          </w:tcPr>
          <w:p w:rsidR="006B67F6" w:rsidRDefault="006B67F6">
            <w:pPr>
              <w:jc w:val="right"/>
              <w:rPr>
                <w:rFonts w:ascii="Calibri" w:hAnsi="Calibri"/>
                <w:color w:val="000000"/>
                <w:sz w:val="18"/>
                <w:szCs w:val="18"/>
              </w:rPr>
            </w:pPr>
          </w:p>
        </w:tc>
        <w:tc>
          <w:tcPr>
            <w:tcW w:w="1361" w:type="dxa"/>
            <w:vAlign w:val="center"/>
          </w:tcPr>
          <w:p w:rsidR="006B67F6" w:rsidRDefault="006B67F6">
            <w:pPr>
              <w:jc w:val="right"/>
              <w:rPr>
                <w:rFonts w:ascii="Calibri" w:hAnsi="Calibri"/>
                <w:color w:val="000000"/>
                <w:sz w:val="18"/>
                <w:szCs w:val="18"/>
              </w:rPr>
            </w:pPr>
            <w:r>
              <w:rPr>
                <w:rFonts w:ascii="Calibri" w:hAnsi="Calibri"/>
                <w:color w:val="000000"/>
                <w:sz w:val="18"/>
                <w:szCs w:val="18"/>
              </w:rPr>
              <w:t>8.38%</w:t>
            </w:r>
          </w:p>
        </w:tc>
        <w:tc>
          <w:tcPr>
            <w:tcW w:w="236" w:type="dxa"/>
            <w:vAlign w:val="center"/>
          </w:tcPr>
          <w:p w:rsidR="006B67F6" w:rsidRDefault="006B67F6">
            <w:pPr>
              <w:jc w:val="right"/>
              <w:rPr>
                <w:rFonts w:ascii="Calibri" w:hAnsi="Calibri"/>
                <w:color w:val="000000"/>
                <w:sz w:val="18"/>
                <w:szCs w:val="18"/>
              </w:rPr>
            </w:pPr>
          </w:p>
        </w:tc>
        <w:tc>
          <w:tcPr>
            <w:tcW w:w="1361" w:type="dxa"/>
            <w:vAlign w:val="center"/>
          </w:tcPr>
          <w:p w:rsidR="006B67F6" w:rsidRDefault="006B67F6">
            <w:pPr>
              <w:jc w:val="right"/>
              <w:rPr>
                <w:rFonts w:ascii="Calibri" w:hAnsi="Calibri"/>
                <w:color w:val="000000"/>
                <w:sz w:val="18"/>
                <w:szCs w:val="18"/>
              </w:rPr>
            </w:pPr>
            <w:r>
              <w:rPr>
                <w:rFonts w:ascii="Calibri" w:hAnsi="Calibri"/>
                <w:color w:val="000000"/>
                <w:sz w:val="18"/>
                <w:szCs w:val="18"/>
              </w:rPr>
              <w:t>9.47%</w:t>
            </w:r>
          </w:p>
        </w:tc>
        <w:tc>
          <w:tcPr>
            <w:tcW w:w="236" w:type="dxa"/>
            <w:vAlign w:val="center"/>
          </w:tcPr>
          <w:p w:rsidR="006B67F6" w:rsidRDefault="006B67F6">
            <w:pPr>
              <w:jc w:val="right"/>
              <w:rPr>
                <w:rFonts w:ascii="Calibri" w:hAnsi="Calibri"/>
                <w:color w:val="000000"/>
                <w:sz w:val="18"/>
                <w:szCs w:val="18"/>
              </w:rPr>
            </w:pPr>
          </w:p>
        </w:tc>
        <w:tc>
          <w:tcPr>
            <w:tcW w:w="1361" w:type="dxa"/>
            <w:vAlign w:val="center"/>
          </w:tcPr>
          <w:p w:rsidR="006B67F6" w:rsidRDefault="006B67F6">
            <w:pPr>
              <w:jc w:val="right"/>
              <w:rPr>
                <w:rFonts w:ascii="Calibri" w:hAnsi="Calibri"/>
                <w:color w:val="000000"/>
                <w:sz w:val="18"/>
                <w:szCs w:val="18"/>
              </w:rPr>
            </w:pPr>
            <w:r>
              <w:rPr>
                <w:rFonts w:ascii="Calibri" w:hAnsi="Calibri"/>
                <w:color w:val="000000"/>
                <w:sz w:val="18"/>
                <w:szCs w:val="18"/>
              </w:rPr>
              <w:t>18.53%</w:t>
            </w:r>
          </w:p>
        </w:tc>
      </w:tr>
      <w:tr w:rsidR="006B67F6" w:rsidRPr="00724F7E" w:rsidTr="00326B4F">
        <w:trPr>
          <w:trHeight w:val="254"/>
          <w:jc w:val="center"/>
        </w:trPr>
        <w:tc>
          <w:tcPr>
            <w:tcW w:w="1247" w:type="dxa"/>
            <w:vMerge w:val="restart"/>
            <w:vAlign w:val="center"/>
          </w:tcPr>
          <w:p w:rsidR="006B67F6" w:rsidRDefault="006B67F6" w:rsidP="00CB3BD3">
            <w:pPr>
              <w:rPr>
                <w:rFonts w:ascii="Calibri" w:hAnsi="Calibri"/>
                <w:color w:val="000000"/>
                <w:sz w:val="20"/>
                <w:szCs w:val="20"/>
              </w:rPr>
            </w:pPr>
            <w:r>
              <w:rPr>
                <w:rFonts w:ascii="Calibri" w:hAnsi="Calibri"/>
                <w:color w:val="000000"/>
                <w:sz w:val="20"/>
                <w:szCs w:val="20"/>
              </w:rPr>
              <w:t>Portugal</w:t>
            </w:r>
          </w:p>
        </w:tc>
        <w:tc>
          <w:tcPr>
            <w:tcW w:w="236" w:type="dxa"/>
          </w:tcPr>
          <w:p w:rsidR="006B67F6" w:rsidRPr="00724F7E" w:rsidRDefault="006B67F6" w:rsidP="00CB3BD3">
            <w:pPr>
              <w:jc w:val="center"/>
              <w:rPr>
                <w:sz w:val="20"/>
                <w:szCs w:val="20"/>
              </w:rPr>
            </w:pPr>
          </w:p>
        </w:tc>
        <w:tc>
          <w:tcPr>
            <w:tcW w:w="1361" w:type="dxa"/>
            <w:vAlign w:val="center"/>
          </w:tcPr>
          <w:p w:rsidR="006B67F6" w:rsidRDefault="006B67F6">
            <w:pPr>
              <w:rPr>
                <w:rFonts w:ascii="Calibri" w:hAnsi="Calibri"/>
                <w:b/>
                <w:bCs/>
                <w:color w:val="FF0000"/>
              </w:rPr>
            </w:pPr>
            <w:r>
              <w:rPr>
                <w:rFonts w:ascii="Calibri" w:hAnsi="Calibri"/>
                <w:b/>
                <w:bCs/>
                <w:color w:val="FF0000"/>
              </w:rPr>
              <w:t>-0.029 ***</w:t>
            </w:r>
          </w:p>
        </w:tc>
        <w:tc>
          <w:tcPr>
            <w:tcW w:w="236" w:type="dxa"/>
            <w:vAlign w:val="center"/>
          </w:tcPr>
          <w:p w:rsidR="006B67F6" w:rsidRDefault="006B67F6">
            <w:pPr>
              <w:rPr>
                <w:rFonts w:ascii="Calibri" w:hAnsi="Calibri"/>
                <w:b/>
                <w:bCs/>
                <w:color w:val="FF0000"/>
              </w:rPr>
            </w:pPr>
          </w:p>
        </w:tc>
        <w:tc>
          <w:tcPr>
            <w:tcW w:w="1361" w:type="dxa"/>
            <w:vAlign w:val="center"/>
          </w:tcPr>
          <w:p w:rsidR="006B67F6" w:rsidRDefault="006B67F6">
            <w:pPr>
              <w:rPr>
                <w:rFonts w:ascii="Calibri" w:hAnsi="Calibri"/>
                <w:b/>
                <w:bCs/>
                <w:color w:val="FF0000"/>
              </w:rPr>
            </w:pPr>
            <w:r>
              <w:rPr>
                <w:rFonts w:ascii="Calibri" w:hAnsi="Calibri"/>
                <w:b/>
                <w:bCs/>
                <w:color w:val="FF0000"/>
              </w:rPr>
              <w:t>-0.063 ***</w:t>
            </w:r>
          </w:p>
        </w:tc>
        <w:tc>
          <w:tcPr>
            <w:tcW w:w="236" w:type="dxa"/>
            <w:vAlign w:val="center"/>
          </w:tcPr>
          <w:p w:rsidR="006B67F6" w:rsidRDefault="006B67F6">
            <w:pPr>
              <w:rPr>
                <w:rFonts w:ascii="Calibri" w:hAnsi="Calibri"/>
                <w:color w:val="000000"/>
              </w:rPr>
            </w:pPr>
          </w:p>
        </w:tc>
        <w:tc>
          <w:tcPr>
            <w:tcW w:w="1361" w:type="dxa"/>
            <w:vAlign w:val="center"/>
          </w:tcPr>
          <w:p w:rsidR="006B67F6" w:rsidRDefault="006B67F6">
            <w:pPr>
              <w:rPr>
                <w:rFonts w:ascii="Calibri" w:hAnsi="Calibri"/>
                <w:b/>
                <w:bCs/>
                <w:color w:val="548DD4"/>
              </w:rPr>
            </w:pPr>
            <w:r>
              <w:rPr>
                <w:rFonts w:ascii="Calibri" w:hAnsi="Calibri"/>
                <w:b/>
                <w:bCs/>
                <w:color w:val="548DD4"/>
              </w:rPr>
              <w:t>0.179 ***</w:t>
            </w:r>
          </w:p>
        </w:tc>
        <w:tc>
          <w:tcPr>
            <w:tcW w:w="236" w:type="dxa"/>
            <w:vAlign w:val="center"/>
          </w:tcPr>
          <w:p w:rsidR="006B67F6" w:rsidRDefault="006B67F6">
            <w:pPr>
              <w:rPr>
                <w:rFonts w:ascii="Calibri" w:hAnsi="Calibri"/>
                <w:color w:val="000000"/>
              </w:rPr>
            </w:pPr>
          </w:p>
        </w:tc>
        <w:tc>
          <w:tcPr>
            <w:tcW w:w="1361" w:type="dxa"/>
            <w:vAlign w:val="center"/>
          </w:tcPr>
          <w:p w:rsidR="006B67F6" w:rsidRDefault="006B67F6">
            <w:pPr>
              <w:rPr>
                <w:rFonts w:ascii="Calibri" w:hAnsi="Calibri"/>
                <w:b/>
                <w:bCs/>
                <w:color w:val="548DD4"/>
              </w:rPr>
            </w:pPr>
            <w:r>
              <w:rPr>
                <w:rFonts w:ascii="Calibri" w:hAnsi="Calibri"/>
                <w:b/>
                <w:bCs/>
                <w:color w:val="548DD4"/>
              </w:rPr>
              <w:t>0.228 ***</w:t>
            </w:r>
          </w:p>
        </w:tc>
      </w:tr>
      <w:tr w:rsidR="006B67F6" w:rsidRPr="00724F7E" w:rsidTr="00326B4F">
        <w:trPr>
          <w:trHeight w:val="254"/>
          <w:jc w:val="center"/>
        </w:trPr>
        <w:tc>
          <w:tcPr>
            <w:tcW w:w="1247" w:type="dxa"/>
            <w:vMerge/>
            <w:vAlign w:val="center"/>
          </w:tcPr>
          <w:p w:rsidR="006B67F6" w:rsidRDefault="006B67F6" w:rsidP="00CB3BD3">
            <w:pPr>
              <w:rPr>
                <w:rFonts w:ascii="Calibri" w:hAnsi="Calibri"/>
                <w:color w:val="000000"/>
                <w:sz w:val="20"/>
                <w:szCs w:val="20"/>
              </w:rPr>
            </w:pPr>
          </w:p>
        </w:tc>
        <w:tc>
          <w:tcPr>
            <w:tcW w:w="236" w:type="dxa"/>
          </w:tcPr>
          <w:p w:rsidR="006B67F6" w:rsidRPr="00724F7E" w:rsidRDefault="006B67F6" w:rsidP="00CB3BD3">
            <w:pPr>
              <w:jc w:val="center"/>
              <w:rPr>
                <w:sz w:val="20"/>
                <w:szCs w:val="20"/>
              </w:rPr>
            </w:pPr>
          </w:p>
        </w:tc>
        <w:tc>
          <w:tcPr>
            <w:tcW w:w="1361" w:type="dxa"/>
            <w:vAlign w:val="center"/>
          </w:tcPr>
          <w:p w:rsidR="006B67F6" w:rsidRDefault="006B67F6">
            <w:pPr>
              <w:jc w:val="right"/>
              <w:rPr>
                <w:rFonts w:ascii="Calibri" w:hAnsi="Calibri"/>
                <w:color w:val="000000"/>
                <w:sz w:val="18"/>
                <w:szCs w:val="18"/>
              </w:rPr>
            </w:pPr>
            <w:r>
              <w:rPr>
                <w:rFonts w:ascii="Calibri" w:hAnsi="Calibri"/>
                <w:color w:val="000000"/>
                <w:sz w:val="18"/>
                <w:szCs w:val="18"/>
              </w:rPr>
              <w:t>0.67%</w:t>
            </w:r>
          </w:p>
        </w:tc>
        <w:tc>
          <w:tcPr>
            <w:tcW w:w="236" w:type="dxa"/>
            <w:vAlign w:val="center"/>
          </w:tcPr>
          <w:p w:rsidR="006B67F6" w:rsidRDefault="006B67F6">
            <w:pPr>
              <w:jc w:val="right"/>
              <w:rPr>
                <w:rFonts w:ascii="Calibri" w:hAnsi="Calibri"/>
                <w:color w:val="000000"/>
                <w:sz w:val="18"/>
                <w:szCs w:val="18"/>
              </w:rPr>
            </w:pPr>
          </w:p>
        </w:tc>
        <w:tc>
          <w:tcPr>
            <w:tcW w:w="1361" w:type="dxa"/>
            <w:vAlign w:val="center"/>
          </w:tcPr>
          <w:p w:rsidR="006B67F6" w:rsidRDefault="006B67F6">
            <w:pPr>
              <w:jc w:val="right"/>
              <w:rPr>
                <w:rFonts w:ascii="Calibri" w:hAnsi="Calibri"/>
                <w:color w:val="000000"/>
                <w:sz w:val="18"/>
                <w:szCs w:val="18"/>
              </w:rPr>
            </w:pPr>
            <w:r>
              <w:rPr>
                <w:rFonts w:ascii="Calibri" w:hAnsi="Calibri"/>
                <w:color w:val="000000"/>
                <w:sz w:val="18"/>
                <w:szCs w:val="18"/>
              </w:rPr>
              <w:t>6.44%</w:t>
            </w:r>
          </w:p>
        </w:tc>
        <w:tc>
          <w:tcPr>
            <w:tcW w:w="236" w:type="dxa"/>
            <w:vAlign w:val="center"/>
          </w:tcPr>
          <w:p w:rsidR="006B67F6" w:rsidRDefault="006B67F6">
            <w:pPr>
              <w:jc w:val="right"/>
              <w:rPr>
                <w:rFonts w:ascii="Calibri" w:hAnsi="Calibri"/>
                <w:color w:val="000000"/>
                <w:sz w:val="18"/>
                <w:szCs w:val="18"/>
              </w:rPr>
            </w:pPr>
          </w:p>
        </w:tc>
        <w:tc>
          <w:tcPr>
            <w:tcW w:w="1361" w:type="dxa"/>
            <w:vAlign w:val="center"/>
          </w:tcPr>
          <w:p w:rsidR="006B67F6" w:rsidRDefault="006B67F6">
            <w:pPr>
              <w:jc w:val="right"/>
              <w:rPr>
                <w:rFonts w:ascii="Calibri" w:hAnsi="Calibri"/>
                <w:color w:val="000000"/>
                <w:sz w:val="18"/>
                <w:szCs w:val="18"/>
              </w:rPr>
            </w:pPr>
            <w:r>
              <w:rPr>
                <w:rFonts w:ascii="Calibri" w:hAnsi="Calibri"/>
                <w:color w:val="000000"/>
                <w:sz w:val="18"/>
                <w:szCs w:val="18"/>
              </w:rPr>
              <w:t>3.79%</w:t>
            </w:r>
          </w:p>
        </w:tc>
        <w:tc>
          <w:tcPr>
            <w:tcW w:w="236" w:type="dxa"/>
            <w:vAlign w:val="center"/>
          </w:tcPr>
          <w:p w:rsidR="006B67F6" w:rsidRDefault="006B67F6">
            <w:pPr>
              <w:jc w:val="right"/>
              <w:rPr>
                <w:rFonts w:ascii="Calibri" w:hAnsi="Calibri"/>
                <w:color w:val="000000"/>
                <w:sz w:val="18"/>
                <w:szCs w:val="18"/>
              </w:rPr>
            </w:pPr>
          </w:p>
        </w:tc>
        <w:tc>
          <w:tcPr>
            <w:tcW w:w="1361" w:type="dxa"/>
            <w:vAlign w:val="center"/>
          </w:tcPr>
          <w:p w:rsidR="006B67F6" w:rsidRDefault="006B67F6">
            <w:pPr>
              <w:jc w:val="right"/>
              <w:rPr>
                <w:rFonts w:ascii="Calibri" w:hAnsi="Calibri"/>
                <w:color w:val="000000"/>
                <w:sz w:val="18"/>
                <w:szCs w:val="18"/>
              </w:rPr>
            </w:pPr>
            <w:r>
              <w:rPr>
                <w:rFonts w:ascii="Calibri" w:hAnsi="Calibri"/>
                <w:color w:val="000000"/>
                <w:sz w:val="18"/>
                <w:szCs w:val="18"/>
              </w:rPr>
              <w:t>2.64%</w:t>
            </w:r>
          </w:p>
        </w:tc>
      </w:tr>
      <w:tr w:rsidR="006B67F6" w:rsidRPr="00724F7E" w:rsidTr="00326B4F">
        <w:trPr>
          <w:trHeight w:val="254"/>
          <w:jc w:val="center"/>
        </w:trPr>
        <w:tc>
          <w:tcPr>
            <w:tcW w:w="1247" w:type="dxa"/>
            <w:vMerge w:val="restart"/>
            <w:vAlign w:val="center"/>
          </w:tcPr>
          <w:p w:rsidR="006B67F6" w:rsidRDefault="006B67F6" w:rsidP="00CB3BD3">
            <w:pPr>
              <w:rPr>
                <w:rFonts w:ascii="Calibri" w:hAnsi="Calibri"/>
                <w:color w:val="000000"/>
                <w:sz w:val="20"/>
                <w:szCs w:val="20"/>
              </w:rPr>
            </w:pPr>
            <w:r>
              <w:rPr>
                <w:rFonts w:ascii="Calibri" w:hAnsi="Calibri"/>
                <w:color w:val="000000"/>
                <w:sz w:val="20"/>
                <w:szCs w:val="20"/>
              </w:rPr>
              <w:t>Ireland</w:t>
            </w:r>
          </w:p>
        </w:tc>
        <w:tc>
          <w:tcPr>
            <w:tcW w:w="236" w:type="dxa"/>
          </w:tcPr>
          <w:p w:rsidR="006B67F6" w:rsidRPr="00724F7E" w:rsidRDefault="006B67F6" w:rsidP="00CB3BD3">
            <w:pPr>
              <w:jc w:val="center"/>
              <w:rPr>
                <w:sz w:val="20"/>
                <w:szCs w:val="20"/>
              </w:rPr>
            </w:pPr>
          </w:p>
        </w:tc>
        <w:tc>
          <w:tcPr>
            <w:tcW w:w="1361" w:type="dxa"/>
            <w:vAlign w:val="center"/>
          </w:tcPr>
          <w:p w:rsidR="006B67F6" w:rsidRDefault="006B67F6">
            <w:pPr>
              <w:rPr>
                <w:rFonts w:ascii="Calibri" w:hAnsi="Calibri"/>
                <w:color w:val="000000"/>
              </w:rPr>
            </w:pPr>
            <w:r>
              <w:rPr>
                <w:rFonts w:ascii="Calibri" w:hAnsi="Calibri"/>
                <w:color w:val="000000"/>
              </w:rPr>
              <w:t>NA</w:t>
            </w:r>
          </w:p>
        </w:tc>
        <w:tc>
          <w:tcPr>
            <w:tcW w:w="236" w:type="dxa"/>
            <w:vAlign w:val="center"/>
          </w:tcPr>
          <w:p w:rsidR="006B67F6" w:rsidRDefault="006B67F6">
            <w:pPr>
              <w:rPr>
                <w:rFonts w:ascii="Calibri" w:hAnsi="Calibri"/>
                <w:color w:val="000000"/>
              </w:rPr>
            </w:pPr>
          </w:p>
        </w:tc>
        <w:tc>
          <w:tcPr>
            <w:tcW w:w="1361" w:type="dxa"/>
            <w:vAlign w:val="center"/>
          </w:tcPr>
          <w:p w:rsidR="006B67F6" w:rsidRDefault="006B67F6">
            <w:pPr>
              <w:rPr>
                <w:rFonts w:ascii="Calibri" w:hAnsi="Calibri"/>
                <w:b/>
                <w:bCs/>
                <w:color w:val="FF0000"/>
              </w:rPr>
            </w:pPr>
            <w:r>
              <w:rPr>
                <w:rFonts w:ascii="Calibri" w:hAnsi="Calibri"/>
                <w:b/>
                <w:bCs/>
                <w:color w:val="FF0000"/>
              </w:rPr>
              <w:t>-0.023 ***</w:t>
            </w:r>
          </w:p>
        </w:tc>
        <w:tc>
          <w:tcPr>
            <w:tcW w:w="236" w:type="dxa"/>
            <w:vAlign w:val="center"/>
          </w:tcPr>
          <w:p w:rsidR="006B67F6" w:rsidRDefault="006B67F6">
            <w:pPr>
              <w:rPr>
                <w:rFonts w:ascii="Calibri" w:hAnsi="Calibri"/>
                <w:color w:val="000000"/>
              </w:rPr>
            </w:pPr>
          </w:p>
        </w:tc>
        <w:tc>
          <w:tcPr>
            <w:tcW w:w="1361" w:type="dxa"/>
            <w:vAlign w:val="center"/>
          </w:tcPr>
          <w:p w:rsidR="006B67F6" w:rsidRDefault="006B67F6">
            <w:pPr>
              <w:rPr>
                <w:rFonts w:ascii="Calibri" w:hAnsi="Calibri"/>
                <w:b/>
                <w:bCs/>
                <w:color w:val="548DD4"/>
              </w:rPr>
            </w:pPr>
            <w:r>
              <w:rPr>
                <w:rFonts w:ascii="Calibri" w:hAnsi="Calibri"/>
                <w:b/>
                <w:bCs/>
                <w:color w:val="548DD4"/>
              </w:rPr>
              <w:t>0.087 ***</w:t>
            </w:r>
          </w:p>
        </w:tc>
        <w:tc>
          <w:tcPr>
            <w:tcW w:w="236" w:type="dxa"/>
            <w:vAlign w:val="center"/>
          </w:tcPr>
          <w:p w:rsidR="006B67F6" w:rsidRDefault="006B67F6">
            <w:pPr>
              <w:rPr>
                <w:rFonts w:ascii="Calibri" w:hAnsi="Calibri"/>
                <w:b/>
                <w:bCs/>
                <w:color w:val="000000"/>
              </w:rPr>
            </w:pPr>
          </w:p>
        </w:tc>
        <w:tc>
          <w:tcPr>
            <w:tcW w:w="1361" w:type="dxa"/>
            <w:vAlign w:val="center"/>
          </w:tcPr>
          <w:p w:rsidR="006B67F6" w:rsidRDefault="006B67F6">
            <w:pPr>
              <w:rPr>
                <w:rFonts w:ascii="Calibri" w:hAnsi="Calibri"/>
                <w:b/>
                <w:bCs/>
                <w:color w:val="548DD4"/>
              </w:rPr>
            </w:pPr>
            <w:r>
              <w:rPr>
                <w:rFonts w:ascii="Calibri" w:hAnsi="Calibri"/>
                <w:b/>
                <w:bCs/>
                <w:color w:val="548DD4"/>
              </w:rPr>
              <w:t>0.050 ***</w:t>
            </w:r>
          </w:p>
        </w:tc>
      </w:tr>
      <w:tr w:rsidR="006B67F6" w:rsidRPr="00724F7E" w:rsidTr="00326B4F">
        <w:trPr>
          <w:trHeight w:val="254"/>
          <w:jc w:val="center"/>
        </w:trPr>
        <w:tc>
          <w:tcPr>
            <w:tcW w:w="1247" w:type="dxa"/>
            <w:vMerge/>
            <w:vAlign w:val="center"/>
          </w:tcPr>
          <w:p w:rsidR="006B67F6" w:rsidRDefault="006B67F6" w:rsidP="00CB3BD3">
            <w:pPr>
              <w:rPr>
                <w:rFonts w:ascii="Calibri" w:hAnsi="Calibri"/>
                <w:color w:val="000000"/>
                <w:sz w:val="20"/>
                <w:szCs w:val="20"/>
              </w:rPr>
            </w:pPr>
          </w:p>
        </w:tc>
        <w:tc>
          <w:tcPr>
            <w:tcW w:w="236" w:type="dxa"/>
          </w:tcPr>
          <w:p w:rsidR="006B67F6" w:rsidRPr="00724F7E" w:rsidRDefault="006B67F6" w:rsidP="00CB3BD3">
            <w:pPr>
              <w:jc w:val="center"/>
              <w:rPr>
                <w:sz w:val="20"/>
                <w:szCs w:val="20"/>
              </w:rPr>
            </w:pPr>
          </w:p>
        </w:tc>
        <w:tc>
          <w:tcPr>
            <w:tcW w:w="1361" w:type="dxa"/>
            <w:vAlign w:val="center"/>
          </w:tcPr>
          <w:p w:rsidR="006B67F6" w:rsidRDefault="006B67F6">
            <w:pPr>
              <w:jc w:val="right"/>
              <w:rPr>
                <w:rFonts w:ascii="Calibri" w:hAnsi="Calibri"/>
                <w:color w:val="000000"/>
                <w:sz w:val="18"/>
                <w:szCs w:val="18"/>
              </w:rPr>
            </w:pPr>
            <w:r>
              <w:rPr>
                <w:rFonts w:ascii="Calibri" w:hAnsi="Calibri"/>
                <w:color w:val="000000"/>
                <w:sz w:val="18"/>
                <w:szCs w:val="18"/>
              </w:rPr>
              <w:t>NA</w:t>
            </w:r>
          </w:p>
        </w:tc>
        <w:tc>
          <w:tcPr>
            <w:tcW w:w="236" w:type="dxa"/>
            <w:vAlign w:val="center"/>
          </w:tcPr>
          <w:p w:rsidR="006B67F6" w:rsidRDefault="006B67F6">
            <w:pPr>
              <w:jc w:val="right"/>
              <w:rPr>
                <w:rFonts w:ascii="Calibri" w:hAnsi="Calibri"/>
                <w:color w:val="000000"/>
                <w:sz w:val="18"/>
                <w:szCs w:val="18"/>
              </w:rPr>
            </w:pPr>
          </w:p>
        </w:tc>
        <w:tc>
          <w:tcPr>
            <w:tcW w:w="1361" w:type="dxa"/>
            <w:vAlign w:val="center"/>
          </w:tcPr>
          <w:p w:rsidR="006B67F6" w:rsidRDefault="006B67F6">
            <w:pPr>
              <w:jc w:val="right"/>
              <w:rPr>
                <w:rFonts w:ascii="Calibri" w:hAnsi="Calibri"/>
                <w:color w:val="000000"/>
                <w:sz w:val="18"/>
                <w:szCs w:val="18"/>
              </w:rPr>
            </w:pPr>
            <w:r>
              <w:rPr>
                <w:rFonts w:ascii="Calibri" w:hAnsi="Calibri"/>
                <w:color w:val="000000"/>
                <w:sz w:val="18"/>
                <w:szCs w:val="18"/>
              </w:rPr>
              <w:t>2.22%</w:t>
            </w:r>
          </w:p>
        </w:tc>
        <w:tc>
          <w:tcPr>
            <w:tcW w:w="236" w:type="dxa"/>
            <w:vAlign w:val="center"/>
          </w:tcPr>
          <w:p w:rsidR="006B67F6" w:rsidRDefault="006B67F6">
            <w:pPr>
              <w:jc w:val="right"/>
              <w:rPr>
                <w:rFonts w:ascii="Calibri" w:hAnsi="Calibri"/>
                <w:color w:val="000000"/>
                <w:sz w:val="18"/>
                <w:szCs w:val="18"/>
              </w:rPr>
            </w:pPr>
          </w:p>
        </w:tc>
        <w:tc>
          <w:tcPr>
            <w:tcW w:w="1361" w:type="dxa"/>
            <w:vAlign w:val="center"/>
          </w:tcPr>
          <w:p w:rsidR="006B67F6" w:rsidRDefault="006B67F6">
            <w:pPr>
              <w:jc w:val="right"/>
              <w:rPr>
                <w:rFonts w:ascii="Calibri" w:hAnsi="Calibri"/>
                <w:color w:val="000000"/>
                <w:sz w:val="18"/>
                <w:szCs w:val="18"/>
              </w:rPr>
            </w:pPr>
            <w:r>
              <w:rPr>
                <w:rFonts w:ascii="Calibri" w:hAnsi="Calibri"/>
                <w:color w:val="000000"/>
                <w:sz w:val="18"/>
                <w:szCs w:val="18"/>
              </w:rPr>
              <w:t>1.47%</w:t>
            </w:r>
          </w:p>
        </w:tc>
        <w:tc>
          <w:tcPr>
            <w:tcW w:w="236" w:type="dxa"/>
            <w:vAlign w:val="center"/>
          </w:tcPr>
          <w:p w:rsidR="006B67F6" w:rsidRDefault="006B67F6">
            <w:pPr>
              <w:jc w:val="right"/>
              <w:rPr>
                <w:rFonts w:ascii="Calibri" w:hAnsi="Calibri"/>
                <w:color w:val="000000"/>
                <w:sz w:val="18"/>
                <w:szCs w:val="18"/>
              </w:rPr>
            </w:pPr>
          </w:p>
        </w:tc>
        <w:tc>
          <w:tcPr>
            <w:tcW w:w="1361" w:type="dxa"/>
            <w:vAlign w:val="center"/>
          </w:tcPr>
          <w:p w:rsidR="006B67F6" w:rsidRDefault="006B67F6">
            <w:pPr>
              <w:jc w:val="right"/>
              <w:rPr>
                <w:rFonts w:ascii="Calibri" w:hAnsi="Calibri"/>
                <w:color w:val="000000"/>
                <w:sz w:val="18"/>
                <w:szCs w:val="18"/>
              </w:rPr>
            </w:pPr>
            <w:r>
              <w:rPr>
                <w:rFonts w:ascii="Calibri" w:hAnsi="Calibri"/>
                <w:color w:val="000000"/>
                <w:sz w:val="18"/>
                <w:szCs w:val="18"/>
              </w:rPr>
              <w:t>0.83%</w:t>
            </w:r>
          </w:p>
        </w:tc>
      </w:tr>
      <w:tr w:rsidR="006B67F6" w:rsidRPr="00724F7E" w:rsidTr="00326B4F">
        <w:trPr>
          <w:trHeight w:val="254"/>
          <w:jc w:val="center"/>
        </w:trPr>
        <w:tc>
          <w:tcPr>
            <w:tcW w:w="1247" w:type="dxa"/>
            <w:vMerge w:val="restart"/>
            <w:vAlign w:val="center"/>
          </w:tcPr>
          <w:p w:rsidR="006B67F6" w:rsidRDefault="006B67F6" w:rsidP="00CB3BD3">
            <w:pPr>
              <w:rPr>
                <w:rFonts w:ascii="Calibri" w:hAnsi="Calibri"/>
                <w:color w:val="000000"/>
                <w:sz w:val="20"/>
                <w:szCs w:val="20"/>
              </w:rPr>
            </w:pPr>
            <w:r>
              <w:rPr>
                <w:rFonts w:ascii="Calibri" w:hAnsi="Calibri"/>
                <w:color w:val="000000"/>
                <w:sz w:val="20"/>
                <w:szCs w:val="20"/>
              </w:rPr>
              <w:t>Greece</w:t>
            </w:r>
          </w:p>
        </w:tc>
        <w:tc>
          <w:tcPr>
            <w:tcW w:w="236" w:type="dxa"/>
          </w:tcPr>
          <w:p w:rsidR="006B67F6" w:rsidRPr="00724F7E" w:rsidRDefault="006B67F6" w:rsidP="00CB3BD3">
            <w:pPr>
              <w:jc w:val="center"/>
              <w:rPr>
                <w:sz w:val="20"/>
                <w:szCs w:val="20"/>
              </w:rPr>
            </w:pPr>
          </w:p>
        </w:tc>
        <w:tc>
          <w:tcPr>
            <w:tcW w:w="1361" w:type="dxa"/>
            <w:vAlign w:val="center"/>
          </w:tcPr>
          <w:p w:rsidR="006B67F6" w:rsidRDefault="006B67F6">
            <w:pPr>
              <w:rPr>
                <w:rFonts w:ascii="Calibri" w:hAnsi="Calibri"/>
                <w:b/>
                <w:bCs/>
                <w:color w:val="FF0000"/>
              </w:rPr>
            </w:pPr>
            <w:r>
              <w:rPr>
                <w:rFonts w:ascii="Calibri" w:hAnsi="Calibri"/>
                <w:b/>
                <w:bCs/>
                <w:color w:val="FF0000"/>
              </w:rPr>
              <w:t>-0.018 ***</w:t>
            </w:r>
          </w:p>
        </w:tc>
        <w:tc>
          <w:tcPr>
            <w:tcW w:w="236" w:type="dxa"/>
            <w:vAlign w:val="center"/>
          </w:tcPr>
          <w:p w:rsidR="006B67F6" w:rsidRDefault="006B67F6">
            <w:pPr>
              <w:rPr>
                <w:rFonts w:ascii="Calibri" w:hAnsi="Calibri"/>
                <w:color w:val="000000"/>
              </w:rPr>
            </w:pPr>
          </w:p>
        </w:tc>
        <w:tc>
          <w:tcPr>
            <w:tcW w:w="1361" w:type="dxa"/>
            <w:vAlign w:val="center"/>
          </w:tcPr>
          <w:p w:rsidR="006B67F6" w:rsidRDefault="006B67F6">
            <w:pPr>
              <w:rPr>
                <w:rFonts w:ascii="Calibri" w:hAnsi="Calibri"/>
                <w:color w:val="000000"/>
              </w:rPr>
            </w:pPr>
            <w:r>
              <w:rPr>
                <w:rFonts w:ascii="Calibri" w:hAnsi="Calibri"/>
                <w:color w:val="000000"/>
              </w:rPr>
              <w:t>0.001</w:t>
            </w:r>
          </w:p>
        </w:tc>
        <w:tc>
          <w:tcPr>
            <w:tcW w:w="236" w:type="dxa"/>
            <w:vAlign w:val="center"/>
          </w:tcPr>
          <w:p w:rsidR="006B67F6" w:rsidRDefault="006B67F6">
            <w:pPr>
              <w:rPr>
                <w:rFonts w:ascii="Calibri" w:hAnsi="Calibri"/>
                <w:color w:val="000000"/>
              </w:rPr>
            </w:pPr>
          </w:p>
        </w:tc>
        <w:tc>
          <w:tcPr>
            <w:tcW w:w="1361" w:type="dxa"/>
            <w:vAlign w:val="center"/>
          </w:tcPr>
          <w:p w:rsidR="006B67F6" w:rsidRDefault="006B67F6">
            <w:pPr>
              <w:rPr>
                <w:rFonts w:ascii="Calibri" w:hAnsi="Calibri"/>
                <w:b/>
                <w:bCs/>
                <w:color w:val="548DD4"/>
              </w:rPr>
            </w:pPr>
            <w:r>
              <w:rPr>
                <w:rFonts w:ascii="Calibri" w:hAnsi="Calibri"/>
                <w:b/>
                <w:bCs/>
                <w:color w:val="548DD4"/>
              </w:rPr>
              <w:t>0.177 ***</w:t>
            </w:r>
          </w:p>
        </w:tc>
        <w:tc>
          <w:tcPr>
            <w:tcW w:w="236" w:type="dxa"/>
            <w:vAlign w:val="center"/>
          </w:tcPr>
          <w:p w:rsidR="006B67F6" w:rsidRDefault="006B67F6">
            <w:pPr>
              <w:rPr>
                <w:rFonts w:ascii="Calibri" w:hAnsi="Calibri"/>
                <w:color w:val="000000"/>
              </w:rPr>
            </w:pPr>
          </w:p>
        </w:tc>
        <w:tc>
          <w:tcPr>
            <w:tcW w:w="1361" w:type="dxa"/>
            <w:vAlign w:val="center"/>
          </w:tcPr>
          <w:p w:rsidR="006B67F6" w:rsidRDefault="006B67F6">
            <w:pPr>
              <w:rPr>
                <w:rFonts w:ascii="Calibri" w:hAnsi="Calibri"/>
                <w:color w:val="000000"/>
              </w:rPr>
            </w:pPr>
            <w:r>
              <w:rPr>
                <w:rFonts w:ascii="Calibri" w:hAnsi="Calibri"/>
                <w:color w:val="000000"/>
              </w:rPr>
              <w:t>NA</w:t>
            </w:r>
          </w:p>
        </w:tc>
      </w:tr>
      <w:tr w:rsidR="006B67F6" w:rsidRPr="00724F7E" w:rsidTr="00326B4F">
        <w:trPr>
          <w:trHeight w:val="254"/>
          <w:jc w:val="center"/>
        </w:trPr>
        <w:tc>
          <w:tcPr>
            <w:tcW w:w="1247" w:type="dxa"/>
            <w:vMerge/>
            <w:tcBorders>
              <w:bottom w:val="single" w:sz="4" w:space="0" w:color="auto"/>
            </w:tcBorders>
            <w:vAlign w:val="center"/>
          </w:tcPr>
          <w:p w:rsidR="006B67F6" w:rsidRDefault="006B67F6" w:rsidP="00CB3BD3">
            <w:pPr>
              <w:rPr>
                <w:rFonts w:ascii="Calibri" w:hAnsi="Calibri"/>
                <w:color w:val="000000"/>
                <w:sz w:val="20"/>
                <w:szCs w:val="20"/>
              </w:rPr>
            </w:pPr>
          </w:p>
        </w:tc>
        <w:tc>
          <w:tcPr>
            <w:tcW w:w="236" w:type="dxa"/>
            <w:tcBorders>
              <w:bottom w:val="single" w:sz="4" w:space="0" w:color="auto"/>
            </w:tcBorders>
          </w:tcPr>
          <w:p w:rsidR="006B67F6" w:rsidRPr="00724F7E" w:rsidRDefault="006B67F6" w:rsidP="00CB3BD3">
            <w:pPr>
              <w:jc w:val="center"/>
              <w:rPr>
                <w:sz w:val="20"/>
                <w:szCs w:val="20"/>
              </w:rPr>
            </w:pPr>
          </w:p>
        </w:tc>
        <w:tc>
          <w:tcPr>
            <w:tcW w:w="1361" w:type="dxa"/>
            <w:tcBorders>
              <w:bottom w:val="single" w:sz="4" w:space="0" w:color="auto"/>
            </w:tcBorders>
            <w:vAlign w:val="center"/>
          </w:tcPr>
          <w:p w:rsidR="006B67F6" w:rsidRDefault="006B67F6">
            <w:pPr>
              <w:jc w:val="right"/>
              <w:rPr>
                <w:rFonts w:ascii="Calibri" w:hAnsi="Calibri"/>
                <w:color w:val="000000"/>
                <w:sz w:val="18"/>
                <w:szCs w:val="18"/>
              </w:rPr>
            </w:pPr>
            <w:r>
              <w:rPr>
                <w:rFonts w:ascii="Calibri" w:hAnsi="Calibri"/>
                <w:color w:val="000000"/>
                <w:sz w:val="18"/>
                <w:szCs w:val="18"/>
              </w:rPr>
              <w:t>0.92%</w:t>
            </w:r>
          </w:p>
        </w:tc>
        <w:tc>
          <w:tcPr>
            <w:tcW w:w="236" w:type="dxa"/>
            <w:tcBorders>
              <w:bottom w:val="single" w:sz="4" w:space="0" w:color="auto"/>
            </w:tcBorders>
            <w:vAlign w:val="center"/>
          </w:tcPr>
          <w:p w:rsidR="006B67F6" w:rsidRDefault="006B67F6">
            <w:pPr>
              <w:jc w:val="right"/>
              <w:rPr>
                <w:rFonts w:ascii="Calibri" w:hAnsi="Calibri"/>
                <w:color w:val="000000"/>
                <w:sz w:val="18"/>
                <w:szCs w:val="18"/>
              </w:rPr>
            </w:pPr>
            <w:r>
              <w:rPr>
                <w:rFonts w:ascii="Calibri" w:hAnsi="Calibri"/>
                <w:color w:val="000000"/>
                <w:sz w:val="18"/>
                <w:szCs w:val="18"/>
              </w:rPr>
              <w:t> </w:t>
            </w:r>
          </w:p>
        </w:tc>
        <w:tc>
          <w:tcPr>
            <w:tcW w:w="1361" w:type="dxa"/>
            <w:tcBorders>
              <w:bottom w:val="single" w:sz="4" w:space="0" w:color="auto"/>
            </w:tcBorders>
            <w:vAlign w:val="center"/>
          </w:tcPr>
          <w:p w:rsidR="006B67F6" w:rsidRDefault="006B67F6">
            <w:pPr>
              <w:jc w:val="right"/>
              <w:rPr>
                <w:rFonts w:ascii="Calibri" w:hAnsi="Calibri"/>
                <w:color w:val="000000"/>
                <w:sz w:val="18"/>
                <w:szCs w:val="18"/>
              </w:rPr>
            </w:pPr>
            <w:r>
              <w:rPr>
                <w:rFonts w:ascii="Calibri" w:hAnsi="Calibri"/>
                <w:color w:val="000000"/>
                <w:sz w:val="18"/>
                <w:szCs w:val="18"/>
              </w:rPr>
              <w:t>0.00%</w:t>
            </w:r>
          </w:p>
        </w:tc>
        <w:tc>
          <w:tcPr>
            <w:tcW w:w="236" w:type="dxa"/>
            <w:tcBorders>
              <w:bottom w:val="single" w:sz="4" w:space="0" w:color="auto"/>
            </w:tcBorders>
            <w:vAlign w:val="center"/>
          </w:tcPr>
          <w:p w:rsidR="006B67F6" w:rsidRDefault="006B67F6">
            <w:pPr>
              <w:jc w:val="right"/>
              <w:rPr>
                <w:rFonts w:ascii="Calibri" w:hAnsi="Calibri"/>
                <w:color w:val="000000"/>
                <w:sz w:val="18"/>
                <w:szCs w:val="18"/>
              </w:rPr>
            </w:pPr>
            <w:r>
              <w:rPr>
                <w:rFonts w:ascii="Calibri" w:hAnsi="Calibri"/>
                <w:color w:val="000000"/>
                <w:sz w:val="18"/>
                <w:szCs w:val="18"/>
              </w:rPr>
              <w:t> </w:t>
            </w:r>
          </w:p>
        </w:tc>
        <w:tc>
          <w:tcPr>
            <w:tcW w:w="1361" w:type="dxa"/>
            <w:tcBorders>
              <w:bottom w:val="single" w:sz="4" w:space="0" w:color="auto"/>
            </w:tcBorders>
            <w:vAlign w:val="center"/>
          </w:tcPr>
          <w:p w:rsidR="006B67F6" w:rsidRDefault="006B67F6">
            <w:pPr>
              <w:jc w:val="right"/>
              <w:rPr>
                <w:rFonts w:ascii="Calibri" w:hAnsi="Calibri"/>
                <w:color w:val="000000"/>
                <w:sz w:val="18"/>
                <w:szCs w:val="18"/>
              </w:rPr>
            </w:pPr>
            <w:r>
              <w:rPr>
                <w:rFonts w:ascii="Calibri" w:hAnsi="Calibri"/>
                <w:color w:val="000000"/>
                <w:sz w:val="18"/>
                <w:szCs w:val="18"/>
              </w:rPr>
              <w:t>9.71%</w:t>
            </w:r>
          </w:p>
        </w:tc>
        <w:tc>
          <w:tcPr>
            <w:tcW w:w="236" w:type="dxa"/>
            <w:tcBorders>
              <w:bottom w:val="single" w:sz="4" w:space="0" w:color="auto"/>
            </w:tcBorders>
            <w:vAlign w:val="center"/>
          </w:tcPr>
          <w:p w:rsidR="006B67F6" w:rsidRDefault="006B67F6">
            <w:pPr>
              <w:jc w:val="right"/>
              <w:rPr>
                <w:rFonts w:ascii="Calibri" w:hAnsi="Calibri"/>
                <w:color w:val="000000"/>
                <w:sz w:val="18"/>
                <w:szCs w:val="18"/>
              </w:rPr>
            </w:pPr>
            <w:r>
              <w:rPr>
                <w:rFonts w:ascii="Calibri" w:hAnsi="Calibri"/>
                <w:color w:val="000000"/>
                <w:sz w:val="18"/>
                <w:szCs w:val="18"/>
              </w:rPr>
              <w:t> </w:t>
            </w:r>
          </w:p>
        </w:tc>
        <w:tc>
          <w:tcPr>
            <w:tcW w:w="1361" w:type="dxa"/>
            <w:tcBorders>
              <w:bottom w:val="single" w:sz="4" w:space="0" w:color="auto"/>
            </w:tcBorders>
            <w:vAlign w:val="center"/>
          </w:tcPr>
          <w:p w:rsidR="006B67F6" w:rsidRDefault="006B67F6">
            <w:pPr>
              <w:jc w:val="right"/>
              <w:rPr>
                <w:rFonts w:ascii="Calibri" w:hAnsi="Calibri"/>
                <w:color w:val="000000"/>
                <w:sz w:val="18"/>
                <w:szCs w:val="18"/>
              </w:rPr>
            </w:pPr>
            <w:r>
              <w:rPr>
                <w:rFonts w:ascii="Calibri" w:hAnsi="Calibri"/>
                <w:color w:val="000000"/>
                <w:sz w:val="18"/>
                <w:szCs w:val="18"/>
              </w:rPr>
              <w:t>NA</w:t>
            </w:r>
          </w:p>
        </w:tc>
      </w:tr>
    </w:tbl>
    <w:p w:rsidR="00A10954" w:rsidRDefault="00A10954" w:rsidP="00A10954">
      <w:pPr>
        <w:pStyle w:val="Default"/>
        <w:rPr>
          <w:rFonts w:ascii="TTdcr10" w:hAnsi="TTdcr10" w:cs="TTdcr10"/>
          <w:color w:val="auto"/>
        </w:rPr>
      </w:pPr>
    </w:p>
    <w:p w:rsidR="00A10954" w:rsidRDefault="00A10954" w:rsidP="00A10954">
      <w:pPr>
        <w:pStyle w:val="Default"/>
        <w:rPr>
          <w:rFonts w:ascii="TTdcr10" w:hAnsi="TTdcr10" w:cs="TTdcr10"/>
          <w:color w:val="auto"/>
        </w:rPr>
      </w:pPr>
    </w:p>
    <w:p w:rsidR="00A10954" w:rsidRPr="00724F7E" w:rsidRDefault="00A10954" w:rsidP="00A10954">
      <w:pPr>
        <w:pStyle w:val="Default"/>
        <w:rPr>
          <w:rFonts w:ascii="TTdcr10" w:hAnsi="TTdcr10" w:cs="TTdcr10"/>
          <w:color w:val="auto"/>
        </w:rPr>
      </w:pPr>
    </w:p>
    <w:p w:rsidR="00A10954" w:rsidRDefault="00A10954" w:rsidP="00A10954">
      <w:pPr>
        <w:pStyle w:val="Default"/>
        <w:rPr>
          <w:rFonts w:ascii="TTdcr10" w:hAnsi="TTdcr10" w:cs="TTdcr10"/>
          <w:color w:val="auto"/>
        </w:rPr>
      </w:pPr>
    </w:p>
    <w:p w:rsidR="00A10954" w:rsidRDefault="00A10954" w:rsidP="00A10954">
      <w:pPr>
        <w:pStyle w:val="Default"/>
        <w:rPr>
          <w:rFonts w:ascii="TTdcr10" w:hAnsi="TTdcr10" w:cs="TTdcr10"/>
          <w:color w:val="auto"/>
        </w:rPr>
        <w:sectPr w:rsidR="00A10954" w:rsidSect="00CB3BD3">
          <w:footnotePr>
            <w:numRestart w:val="eachSect"/>
          </w:footnotePr>
          <w:pgSz w:w="11906" w:h="16838"/>
          <w:pgMar w:top="1440" w:right="1440" w:bottom="1440" w:left="1440" w:header="708" w:footer="708" w:gutter="0"/>
          <w:cols w:space="708"/>
          <w:docGrid w:linePitch="360"/>
        </w:sectPr>
      </w:pPr>
    </w:p>
    <w:p w:rsidR="00A10954" w:rsidRDefault="00A10954" w:rsidP="00A10954">
      <w:pPr>
        <w:pStyle w:val="Default"/>
        <w:rPr>
          <w:rFonts w:ascii="TTdcr10" w:hAnsi="TTdcr10" w:cs="TTdcr10"/>
          <w:color w:val="auto"/>
        </w:rPr>
      </w:pPr>
    </w:p>
    <w:tbl>
      <w:tblPr>
        <w:tblStyle w:val="Grigliatabella"/>
        <w:tblW w:w="763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236"/>
        <w:gridCol w:w="1361"/>
        <w:gridCol w:w="236"/>
        <w:gridCol w:w="1361"/>
        <w:gridCol w:w="236"/>
        <w:gridCol w:w="1361"/>
        <w:gridCol w:w="236"/>
        <w:gridCol w:w="1361"/>
      </w:tblGrid>
      <w:tr w:rsidR="00A10954" w:rsidRPr="00724F7E" w:rsidTr="00CB3BD3">
        <w:trPr>
          <w:trHeight w:val="20"/>
          <w:jc w:val="center"/>
        </w:trPr>
        <w:tc>
          <w:tcPr>
            <w:tcW w:w="7635" w:type="dxa"/>
            <w:gridSpan w:val="9"/>
            <w:vAlign w:val="center"/>
          </w:tcPr>
          <w:p w:rsidR="00A10954" w:rsidRPr="00724F7E" w:rsidRDefault="003713E8" w:rsidP="00CB3BD3">
            <w:pPr>
              <w:jc w:val="center"/>
              <w:rPr>
                <w:b/>
                <w:sz w:val="20"/>
                <w:szCs w:val="20"/>
              </w:rPr>
            </w:pPr>
            <w:r>
              <w:rPr>
                <w:b/>
                <w:sz w:val="20"/>
                <w:szCs w:val="20"/>
              </w:rPr>
              <w:t xml:space="preserve">Table </w:t>
            </w:r>
            <w:r w:rsidR="00433958">
              <w:rPr>
                <w:b/>
                <w:sz w:val="20"/>
                <w:szCs w:val="20"/>
              </w:rPr>
              <w:t>I</w:t>
            </w:r>
            <w:r>
              <w:rPr>
                <w:b/>
                <w:sz w:val="20"/>
                <w:szCs w:val="20"/>
              </w:rPr>
              <w:t>V</w:t>
            </w:r>
          </w:p>
          <w:p w:rsidR="00A10954" w:rsidRPr="00724F7E" w:rsidRDefault="00A10954" w:rsidP="007860E0">
            <w:pPr>
              <w:jc w:val="center"/>
              <w:rPr>
                <w:sz w:val="20"/>
                <w:szCs w:val="20"/>
              </w:rPr>
            </w:pPr>
            <w:r w:rsidRPr="00724F7E">
              <w:rPr>
                <w:b/>
                <w:szCs w:val="20"/>
              </w:rPr>
              <w:t xml:space="preserve">Regressions </w:t>
            </w:r>
            <w:r w:rsidR="007860E0">
              <w:rPr>
                <w:b/>
                <w:szCs w:val="20"/>
              </w:rPr>
              <w:t xml:space="preserve">of </w:t>
            </w:r>
            <w:r>
              <w:rPr>
                <w:b/>
                <w:szCs w:val="20"/>
              </w:rPr>
              <w:t xml:space="preserve">excess sovereign bond returns </w:t>
            </w:r>
            <w:r w:rsidR="007860E0">
              <w:rPr>
                <w:b/>
                <w:szCs w:val="20"/>
              </w:rPr>
              <w:t xml:space="preserve">on </w:t>
            </w:r>
            <w:r>
              <w:rPr>
                <w:b/>
                <w:szCs w:val="20"/>
              </w:rPr>
              <w:t>changes in 5-year CDS spreads</w:t>
            </w:r>
          </w:p>
        </w:tc>
      </w:tr>
      <w:tr w:rsidR="00A10954" w:rsidRPr="00724F7E" w:rsidTr="00CB3BD3">
        <w:trPr>
          <w:trHeight w:val="20"/>
          <w:jc w:val="center"/>
        </w:trPr>
        <w:tc>
          <w:tcPr>
            <w:tcW w:w="7635" w:type="dxa"/>
            <w:gridSpan w:val="9"/>
            <w:tcBorders>
              <w:bottom w:val="single" w:sz="4" w:space="0" w:color="auto"/>
            </w:tcBorders>
            <w:vAlign w:val="center"/>
          </w:tcPr>
          <w:p w:rsidR="00A10954" w:rsidRDefault="007860E0" w:rsidP="00CB3BD3">
            <w:pPr>
              <w:autoSpaceDE w:val="0"/>
              <w:autoSpaceDN w:val="0"/>
              <w:adjustRightInd w:val="0"/>
              <w:jc w:val="both"/>
              <w:rPr>
                <w:sz w:val="20"/>
                <w:szCs w:val="20"/>
              </w:rPr>
            </w:pPr>
            <w:r w:rsidRPr="00724F7E">
              <w:rPr>
                <w:sz w:val="20"/>
                <w:szCs w:val="20"/>
              </w:rPr>
              <w:t xml:space="preserve">This table reports </w:t>
            </w:r>
            <w:r w:rsidR="0025269F">
              <w:rPr>
                <w:sz w:val="20"/>
                <w:szCs w:val="20"/>
              </w:rPr>
              <w:t xml:space="preserve">the </w:t>
            </w:r>
            <w:r>
              <w:rPr>
                <w:sz w:val="20"/>
                <w:szCs w:val="20"/>
              </w:rPr>
              <w:t>coefficient</w:t>
            </w:r>
            <w:r w:rsidR="0025269F">
              <w:rPr>
                <w:sz w:val="20"/>
                <w:szCs w:val="20"/>
              </w:rPr>
              <w:t>s</w:t>
            </w:r>
            <w:r>
              <w:rPr>
                <w:sz w:val="20"/>
                <w:szCs w:val="20"/>
              </w:rPr>
              <w:t xml:space="preserve"> of </w:t>
            </w:r>
            <w:r w:rsidR="0025269F">
              <w:rPr>
                <w:sz w:val="20"/>
                <w:szCs w:val="20"/>
              </w:rPr>
              <w:t xml:space="preserve">changes in 5-year CDS spreads estimated with </w:t>
            </w:r>
            <w:r>
              <w:rPr>
                <w:sz w:val="20"/>
                <w:szCs w:val="20"/>
              </w:rPr>
              <w:t>the following pooled regression model</w:t>
            </w:r>
            <w:r w:rsidR="00A10954">
              <w:rPr>
                <w:sz w:val="20"/>
                <w:szCs w:val="20"/>
              </w:rPr>
              <w:t>:</w:t>
            </w:r>
            <w:r w:rsidR="00A10954" w:rsidRPr="00724F7E">
              <w:rPr>
                <w:sz w:val="20"/>
                <w:szCs w:val="20"/>
              </w:rPr>
              <w:t xml:space="preserve"> </w:t>
            </w:r>
          </w:p>
          <w:p w:rsidR="00A10954" w:rsidRPr="007E6A0D" w:rsidRDefault="00CE06E1" w:rsidP="00CB3BD3">
            <w:pPr>
              <w:autoSpaceDE w:val="0"/>
              <w:autoSpaceDN w:val="0"/>
              <w:adjustRightInd w:val="0"/>
              <w:jc w:val="both"/>
            </w:pPr>
            <m:oMathPara>
              <m:oMath>
                <m:sSub>
                  <m:sSubPr>
                    <m:ctrlPr>
                      <w:rPr>
                        <w:rFonts w:ascii="Cambria Math" w:hAnsi="Cambria Math"/>
                        <w:i/>
                      </w:rPr>
                    </m:ctrlPr>
                  </m:sSubPr>
                  <m:e>
                    <m:r>
                      <w:rPr>
                        <w:rFonts w:ascii="Cambria Math" w:hAnsi="Cambria Math"/>
                      </w:rPr>
                      <m:t>RB</m:t>
                    </m:r>
                  </m:e>
                  <m:sub>
                    <m:r>
                      <w:rPr>
                        <w:rFonts w:ascii="Cambria Math" w:hAnsi="Cambria Math"/>
                      </w:rPr>
                      <m:t>i,cr,t</m:t>
                    </m:r>
                  </m:sub>
                </m:sSub>
                <m:r>
                  <w:rPr>
                    <w:rFonts w:ascii="Cambria Math" w:hAnsi="Cambria Math"/>
                  </w:rPr>
                  <m:t>-</m:t>
                </m:r>
                <m:sSub>
                  <m:sSubPr>
                    <m:ctrlPr>
                      <w:rPr>
                        <w:rFonts w:ascii="Cambria Math" w:hAnsi="Cambria Math"/>
                        <w:i/>
                      </w:rPr>
                    </m:ctrlPr>
                  </m:sSubPr>
                  <m:e>
                    <m:r>
                      <w:rPr>
                        <w:rFonts w:ascii="Cambria Math" w:hAnsi="Cambria Math"/>
                      </w:rPr>
                      <m:t>RECB</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c+β</m:t>
                    </m:r>
                  </m:e>
                  <m:sub>
                    <m:r>
                      <w:rPr>
                        <w:rFonts w:ascii="Cambria Math" w:hAnsi="Cambria Math"/>
                      </w:rPr>
                      <m:t>CDS</m:t>
                    </m:r>
                  </m:sub>
                </m:sSub>
                <m:sSub>
                  <m:sSubPr>
                    <m:ctrlPr>
                      <w:rPr>
                        <w:rFonts w:ascii="Cambria Math" w:hAnsi="Cambria Math"/>
                        <w:i/>
                      </w:rPr>
                    </m:ctrlPr>
                  </m:sSubPr>
                  <m:e>
                    <m:r>
                      <w:rPr>
                        <w:rFonts w:ascii="Cambria Math" w:hAnsi="Cambria Math"/>
                      </w:rPr>
                      <m:t>∆CDS</m:t>
                    </m:r>
                  </m:e>
                  <m:sub>
                    <m:r>
                      <w:rPr>
                        <w:rFonts w:ascii="Cambria Math" w:hAnsi="Cambria Math"/>
                      </w:rPr>
                      <m:t>cr,t</m:t>
                    </m:r>
                  </m:sub>
                </m:sSub>
                <m:r>
                  <w:rPr>
                    <w:rFonts w:ascii="Cambria Math" w:hAnsi="Cambria Math"/>
                  </w:rPr>
                  <m:t>+</m:t>
                </m:r>
                <m:sSub>
                  <m:sSubPr>
                    <m:ctrlPr>
                      <w:rPr>
                        <w:rFonts w:ascii="Cambria Math" w:hAnsi="Cambria Math"/>
                        <w:i/>
                      </w:rPr>
                    </m:ctrlPr>
                  </m:sSubPr>
                  <m:e>
                    <m:r>
                      <w:rPr>
                        <w:rFonts w:ascii="Cambria Math" w:hAnsi="Cambria Math"/>
                      </w:rPr>
                      <m:t>ε</m:t>
                    </m:r>
                  </m:e>
                  <m:sub>
                    <m:r>
                      <w:rPr>
                        <w:rFonts w:ascii="Cambria Math" w:hAnsi="Cambria Math"/>
                      </w:rPr>
                      <m:t>i,cr,t</m:t>
                    </m:r>
                  </m:sub>
                </m:sSub>
              </m:oMath>
            </m:oMathPara>
          </w:p>
          <w:p w:rsidR="00A10954" w:rsidRPr="00724F7E" w:rsidRDefault="00A10954" w:rsidP="007F2D07">
            <w:pPr>
              <w:autoSpaceDE w:val="0"/>
              <w:autoSpaceDN w:val="0"/>
              <w:adjustRightInd w:val="0"/>
              <w:jc w:val="both"/>
              <w:rPr>
                <w:sz w:val="20"/>
                <w:szCs w:val="20"/>
              </w:rPr>
            </w:pPr>
            <w:r>
              <w:rPr>
                <w:sz w:val="20"/>
                <w:szCs w:val="20"/>
              </w:rPr>
              <w:t>where RB represents the bond specific return, ΔCDS</w:t>
            </w:r>
            <w:r w:rsidRPr="00724F7E">
              <w:rPr>
                <w:sz w:val="20"/>
                <w:szCs w:val="20"/>
              </w:rPr>
              <w:t xml:space="preserve"> refers to the</w:t>
            </w:r>
            <w:r>
              <w:rPr>
                <w:sz w:val="20"/>
                <w:szCs w:val="20"/>
              </w:rPr>
              <w:t xml:space="preserve"> change of the country specific</w:t>
            </w:r>
            <w:r w:rsidRPr="00724F7E">
              <w:rPr>
                <w:sz w:val="20"/>
                <w:szCs w:val="20"/>
              </w:rPr>
              <w:t xml:space="preserve"> </w:t>
            </w:r>
            <w:r>
              <w:rPr>
                <w:sz w:val="20"/>
                <w:szCs w:val="20"/>
              </w:rPr>
              <w:t>5 year CDS spread, and RECB is the return  of the 3 month ECB rate</w:t>
            </w:r>
            <w:r w:rsidRPr="00724F7E">
              <w:rPr>
                <w:sz w:val="20"/>
                <w:szCs w:val="20"/>
              </w:rPr>
              <w:t>.</w:t>
            </w:r>
            <w:r w:rsidR="0025269F">
              <w:rPr>
                <w:sz w:val="20"/>
                <w:szCs w:val="20"/>
              </w:rPr>
              <w:t xml:space="preserve"> We employ daily observations.</w:t>
            </w:r>
            <w:r w:rsidRPr="00724F7E">
              <w:rPr>
                <w:sz w:val="20"/>
                <w:szCs w:val="20"/>
              </w:rPr>
              <w:t xml:space="preserve"> </w:t>
            </w:r>
            <w:r w:rsidR="00A11843">
              <w:rPr>
                <w:sz w:val="20"/>
                <w:szCs w:val="20"/>
              </w:rPr>
              <w:t>For each sub-period,</w:t>
            </w:r>
            <w:r w:rsidR="00A11843" w:rsidRPr="00724F7E">
              <w:rPr>
                <w:sz w:val="20"/>
                <w:szCs w:val="20"/>
              </w:rPr>
              <w:t xml:space="preserve"> </w:t>
            </w:r>
            <w:r w:rsidR="00A11843">
              <w:rPr>
                <w:sz w:val="20"/>
                <w:szCs w:val="20"/>
              </w:rPr>
              <w:t>r</w:t>
            </w:r>
            <w:r w:rsidR="00A11843" w:rsidRPr="00724F7E">
              <w:rPr>
                <w:sz w:val="20"/>
                <w:szCs w:val="20"/>
              </w:rPr>
              <w:t xml:space="preserve">egressions </w:t>
            </w:r>
            <w:r w:rsidRPr="00724F7E">
              <w:rPr>
                <w:sz w:val="20"/>
                <w:szCs w:val="20"/>
              </w:rPr>
              <w:t xml:space="preserve">variables are winsorized at 1% - 99% taking into account all time-series observations </w:t>
            </w:r>
            <w:r>
              <w:rPr>
                <w:sz w:val="20"/>
                <w:szCs w:val="20"/>
              </w:rPr>
              <w:t xml:space="preserve">and demeaned at the bond level. </w:t>
            </w:r>
            <w:r>
              <w:rPr>
                <w:rFonts w:ascii="Calibri" w:hAnsi="Calibri"/>
                <w:color w:val="000000"/>
                <w:sz w:val="20"/>
                <w:szCs w:val="20"/>
              </w:rPr>
              <w:t>Sub-periods are 01 Apr 2003 to 31 Aug 2007 for the pre-crisis period, 01 Sep 2007 and 31 Dec 2009 for the subprime crisis period and the sovereign crisis period is split into two parts, 01 Jan 2010 to 30 Dec 2011 and between 01 Jan 201</w:t>
            </w:r>
            <w:r w:rsidR="00661E8C">
              <w:rPr>
                <w:rFonts w:ascii="Calibri" w:hAnsi="Calibri"/>
                <w:color w:val="000000"/>
                <w:sz w:val="20"/>
                <w:szCs w:val="20"/>
              </w:rPr>
              <w:t>2</w:t>
            </w:r>
            <w:r>
              <w:rPr>
                <w:rFonts w:ascii="Calibri" w:hAnsi="Calibri"/>
                <w:color w:val="000000"/>
                <w:sz w:val="20"/>
                <w:szCs w:val="20"/>
              </w:rPr>
              <w:t xml:space="preserve"> to 31 Dec 2013, respectively. </w:t>
            </w:r>
            <w:r w:rsidRPr="00724F7E">
              <w:rPr>
                <w:sz w:val="20"/>
                <w:szCs w:val="20"/>
              </w:rPr>
              <w:t xml:space="preserve">White cross-section standard errors &amp; covariance are used. </w:t>
            </w:r>
            <w:r w:rsidRPr="00724F7E">
              <w:rPr>
                <w:rFonts w:ascii="Cambria Math" w:hAnsi="Cambria Math" w:cs="Cambria Math"/>
                <w:sz w:val="20"/>
                <w:szCs w:val="20"/>
              </w:rPr>
              <w:t>∗∗∗</w:t>
            </w:r>
            <w:r w:rsidRPr="00724F7E">
              <w:rPr>
                <w:sz w:val="20"/>
                <w:szCs w:val="20"/>
              </w:rPr>
              <w:t xml:space="preserve">, </w:t>
            </w:r>
            <w:r w:rsidRPr="00724F7E">
              <w:rPr>
                <w:rFonts w:ascii="Cambria Math" w:hAnsi="Cambria Math" w:cs="Cambria Math"/>
                <w:sz w:val="20"/>
                <w:szCs w:val="20"/>
              </w:rPr>
              <w:t>∗∗</w:t>
            </w:r>
            <w:r w:rsidRPr="00724F7E">
              <w:rPr>
                <w:sz w:val="20"/>
                <w:szCs w:val="20"/>
              </w:rPr>
              <w:t xml:space="preserve">, and </w:t>
            </w:r>
            <w:r w:rsidRPr="00724F7E">
              <w:rPr>
                <w:rFonts w:ascii="Cambria Math" w:hAnsi="Cambria Math" w:cs="Cambria Math"/>
                <w:sz w:val="20"/>
                <w:szCs w:val="20"/>
              </w:rPr>
              <w:t>∗</w:t>
            </w:r>
            <w:r w:rsidRPr="00724F7E">
              <w:rPr>
                <w:sz w:val="20"/>
                <w:szCs w:val="20"/>
              </w:rPr>
              <w:t xml:space="preserve"> represent statistical significance at the 1%, 5%, and 10% level, respectively.</w:t>
            </w:r>
            <w:r>
              <w:rPr>
                <w:sz w:val="20"/>
                <w:szCs w:val="20"/>
              </w:rPr>
              <w:t xml:space="preserve"> Adjusted-R</w:t>
            </w:r>
            <w:r w:rsidRPr="000373B6">
              <w:rPr>
                <w:sz w:val="20"/>
                <w:szCs w:val="20"/>
                <w:vertAlign w:val="superscript"/>
              </w:rPr>
              <w:t>2</w:t>
            </w:r>
            <w:r>
              <w:rPr>
                <w:sz w:val="20"/>
                <w:szCs w:val="20"/>
              </w:rPr>
              <w:t>s are presented below each coefficient.</w:t>
            </w:r>
            <w:r w:rsidRPr="00724F7E">
              <w:rPr>
                <w:sz w:val="20"/>
                <w:szCs w:val="20"/>
              </w:rPr>
              <w:t xml:space="preserve"> For brevity, </w:t>
            </w:r>
            <w:r>
              <w:rPr>
                <w:sz w:val="20"/>
                <w:szCs w:val="20"/>
              </w:rPr>
              <w:t xml:space="preserve">the </w:t>
            </w:r>
            <w:r w:rsidRPr="00724F7E">
              <w:rPr>
                <w:sz w:val="20"/>
                <w:szCs w:val="20"/>
              </w:rPr>
              <w:t>coefficients</w:t>
            </w:r>
            <w:r>
              <w:rPr>
                <w:sz w:val="20"/>
                <w:szCs w:val="20"/>
              </w:rPr>
              <w:t xml:space="preserve"> for the constant </w:t>
            </w:r>
            <w:r w:rsidRPr="00724F7E">
              <w:rPr>
                <w:sz w:val="20"/>
                <w:szCs w:val="20"/>
              </w:rPr>
              <w:t>are not reported.</w:t>
            </w:r>
            <w:r>
              <w:rPr>
                <w:sz w:val="20"/>
                <w:szCs w:val="20"/>
              </w:rPr>
              <w:t xml:space="preserve"> </w:t>
            </w:r>
          </w:p>
        </w:tc>
      </w:tr>
      <w:tr w:rsidR="00A10954" w:rsidRPr="00724F7E" w:rsidTr="00CB3BD3">
        <w:trPr>
          <w:trHeight w:val="20"/>
          <w:jc w:val="center"/>
        </w:trPr>
        <w:tc>
          <w:tcPr>
            <w:tcW w:w="1247" w:type="dxa"/>
            <w:tcBorders>
              <w:top w:val="single" w:sz="4" w:space="0" w:color="auto"/>
            </w:tcBorders>
            <w:vAlign w:val="center"/>
          </w:tcPr>
          <w:p w:rsidR="00A10954" w:rsidRPr="00724F7E" w:rsidRDefault="00A10954" w:rsidP="00CB3BD3">
            <w:pPr>
              <w:jc w:val="center"/>
              <w:rPr>
                <w:sz w:val="20"/>
                <w:szCs w:val="20"/>
              </w:rPr>
            </w:pPr>
          </w:p>
        </w:tc>
        <w:tc>
          <w:tcPr>
            <w:tcW w:w="236" w:type="dxa"/>
            <w:tcBorders>
              <w:top w:val="single" w:sz="4" w:space="0" w:color="auto"/>
            </w:tcBorders>
            <w:vAlign w:val="center"/>
          </w:tcPr>
          <w:p w:rsidR="00A10954" w:rsidRPr="00724F7E" w:rsidRDefault="00A10954" w:rsidP="00CB3BD3">
            <w:pPr>
              <w:jc w:val="center"/>
              <w:rPr>
                <w:sz w:val="20"/>
                <w:szCs w:val="20"/>
              </w:rPr>
            </w:pPr>
          </w:p>
        </w:tc>
        <w:tc>
          <w:tcPr>
            <w:tcW w:w="1361" w:type="dxa"/>
            <w:tcBorders>
              <w:top w:val="single" w:sz="4" w:space="0" w:color="auto"/>
              <w:bottom w:val="single" w:sz="4" w:space="0" w:color="auto"/>
            </w:tcBorders>
            <w:vAlign w:val="center"/>
          </w:tcPr>
          <w:p w:rsidR="00A10954" w:rsidRPr="00724F7E" w:rsidRDefault="00A10954" w:rsidP="00CB3BD3">
            <w:pPr>
              <w:jc w:val="center"/>
              <w:rPr>
                <w:sz w:val="20"/>
                <w:szCs w:val="20"/>
              </w:rPr>
            </w:pPr>
            <w:r w:rsidRPr="00724F7E">
              <w:rPr>
                <w:sz w:val="20"/>
                <w:szCs w:val="20"/>
              </w:rPr>
              <w:t>Pre-crisis period</w:t>
            </w:r>
          </w:p>
        </w:tc>
        <w:tc>
          <w:tcPr>
            <w:tcW w:w="236" w:type="dxa"/>
            <w:tcBorders>
              <w:top w:val="single" w:sz="4" w:space="0" w:color="auto"/>
            </w:tcBorders>
            <w:vAlign w:val="center"/>
          </w:tcPr>
          <w:p w:rsidR="00A10954" w:rsidRPr="00724F7E" w:rsidRDefault="00A10954" w:rsidP="00CB3BD3">
            <w:pPr>
              <w:jc w:val="center"/>
              <w:rPr>
                <w:sz w:val="20"/>
                <w:szCs w:val="20"/>
              </w:rPr>
            </w:pPr>
          </w:p>
        </w:tc>
        <w:tc>
          <w:tcPr>
            <w:tcW w:w="1361" w:type="dxa"/>
            <w:tcBorders>
              <w:top w:val="single" w:sz="4" w:space="0" w:color="auto"/>
              <w:bottom w:val="single" w:sz="4" w:space="0" w:color="auto"/>
            </w:tcBorders>
            <w:vAlign w:val="center"/>
          </w:tcPr>
          <w:p w:rsidR="00A10954" w:rsidRPr="00724F7E" w:rsidRDefault="00A10954" w:rsidP="00CB3BD3">
            <w:pPr>
              <w:jc w:val="center"/>
              <w:rPr>
                <w:sz w:val="20"/>
                <w:szCs w:val="20"/>
              </w:rPr>
            </w:pPr>
            <w:r w:rsidRPr="00724F7E">
              <w:rPr>
                <w:sz w:val="20"/>
                <w:szCs w:val="20"/>
              </w:rPr>
              <w:t>Subprime crisis period</w:t>
            </w:r>
          </w:p>
        </w:tc>
        <w:tc>
          <w:tcPr>
            <w:tcW w:w="236" w:type="dxa"/>
            <w:tcBorders>
              <w:top w:val="single" w:sz="4" w:space="0" w:color="auto"/>
            </w:tcBorders>
            <w:vAlign w:val="center"/>
          </w:tcPr>
          <w:p w:rsidR="00A10954" w:rsidRPr="00724F7E" w:rsidRDefault="00A10954" w:rsidP="00CB3BD3">
            <w:pPr>
              <w:jc w:val="center"/>
              <w:rPr>
                <w:sz w:val="20"/>
                <w:szCs w:val="20"/>
              </w:rPr>
            </w:pPr>
          </w:p>
        </w:tc>
        <w:tc>
          <w:tcPr>
            <w:tcW w:w="1361" w:type="dxa"/>
            <w:tcBorders>
              <w:top w:val="single" w:sz="4" w:space="0" w:color="auto"/>
              <w:bottom w:val="single" w:sz="4" w:space="0" w:color="auto"/>
            </w:tcBorders>
            <w:vAlign w:val="center"/>
          </w:tcPr>
          <w:p w:rsidR="00A10954" w:rsidRPr="00724F7E" w:rsidRDefault="00A10954" w:rsidP="00CB3BD3">
            <w:pPr>
              <w:jc w:val="center"/>
              <w:rPr>
                <w:sz w:val="20"/>
                <w:szCs w:val="20"/>
              </w:rPr>
            </w:pPr>
            <w:r w:rsidRPr="00724F7E">
              <w:rPr>
                <w:sz w:val="20"/>
                <w:szCs w:val="20"/>
              </w:rPr>
              <w:t>Sovereign crisis period</w:t>
            </w:r>
            <w:r>
              <w:rPr>
                <w:sz w:val="20"/>
                <w:szCs w:val="20"/>
              </w:rPr>
              <w:t xml:space="preserve"> I</w:t>
            </w:r>
          </w:p>
        </w:tc>
        <w:tc>
          <w:tcPr>
            <w:tcW w:w="236" w:type="dxa"/>
            <w:tcBorders>
              <w:top w:val="single" w:sz="4" w:space="0" w:color="auto"/>
            </w:tcBorders>
            <w:vAlign w:val="center"/>
          </w:tcPr>
          <w:p w:rsidR="00A10954" w:rsidRPr="00724F7E" w:rsidRDefault="00A10954" w:rsidP="00CB3BD3">
            <w:pPr>
              <w:jc w:val="center"/>
              <w:rPr>
                <w:sz w:val="20"/>
                <w:szCs w:val="20"/>
              </w:rPr>
            </w:pPr>
          </w:p>
        </w:tc>
        <w:tc>
          <w:tcPr>
            <w:tcW w:w="1361" w:type="dxa"/>
            <w:tcBorders>
              <w:top w:val="single" w:sz="4" w:space="0" w:color="auto"/>
              <w:bottom w:val="single" w:sz="4" w:space="0" w:color="auto"/>
            </w:tcBorders>
            <w:vAlign w:val="center"/>
          </w:tcPr>
          <w:p w:rsidR="00A10954" w:rsidRPr="00724F7E" w:rsidRDefault="00A10954" w:rsidP="00CB3BD3">
            <w:pPr>
              <w:jc w:val="center"/>
              <w:rPr>
                <w:sz w:val="20"/>
                <w:szCs w:val="20"/>
              </w:rPr>
            </w:pPr>
            <w:r w:rsidRPr="00724F7E">
              <w:rPr>
                <w:sz w:val="20"/>
                <w:szCs w:val="20"/>
              </w:rPr>
              <w:t>Sovereign crisis period</w:t>
            </w:r>
            <w:r>
              <w:rPr>
                <w:sz w:val="20"/>
                <w:szCs w:val="20"/>
              </w:rPr>
              <w:t xml:space="preserve"> II</w:t>
            </w:r>
          </w:p>
        </w:tc>
      </w:tr>
      <w:tr w:rsidR="006B67F6" w:rsidRPr="00724F7E" w:rsidTr="00326B4F">
        <w:trPr>
          <w:trHeight w:val="254"/>
          <w:jc w:val="center"/>
        </w:trPr>
        <w:tc>
          <w:tcPr>
            <w:tcW w:w="1247" w:type="dxa"/>
            <w:vMerge w:val="restart"/>
            <w:vAlign w:val="center"/>
          </w:tcPr>
          <w:p w:rsidR="006B67F6" w:rsidRDefault="006B67F6" w:rsidP="00CB3BD3">
            <w:pPr>
              <w:rPr>
                <w:rFonts w:ascii="Calibri" w:hAnsi="Calibri"/>
                <w:color w:val="000000"/>
                <w:sz w:val="20"/>
                <w:szCs w:val="20"/>
              </w:rPr>
            </w:pPr>
            <w:r>
              <w:rPr>
                <w:rFonts w:ascii="Calibri" w:hAnsi="Calibri"/>
                <w:color w:val="000000"/>
                <w:sz w:val="20"/>
                <w:szCs w:val="20"/>
              </w:rPr>
              <w:t>Germany</w:t>
            </w:r>
          </w:p>
        </w:tc>
        <w:tc>
          <w:tcPr>
            <w:tcW w:w="236" w:type="dxa"/>
          </w:tcPr>
          <w:p w:rsidR="006B67F6" w:rsidRPr="00724F7E" w:rsidRDefault="006B67F6" w:rsidP="00CB3BD3">
            <w:pPr>
              <w:jc w:val="center"/>
              <w:rPr>
                <w:sz w:val="20"/>
                <w:szCs w:val="20"/>
              </w:rPr>
            </w:pPr>
          </w:p>
        </w:tc>
        <w:tc>
          <w:tcPr>
            <w:tcW w:w="1361" w:type="dxa"/>
            <w:vAlign w:val="center"/>
          </w:tcPr>
          <w:p w:rsidR="006B67F6" w:rsidRDefault="006B67F6">
            <w:pPr>
              <w:rPr>
                <w:rFonts w:ascii="Calibri" w:hAnsi="Calibri"/>
                <w:color w:val="000000"/>
              </w:rPr>
            </w:pPr>
            <w:r>
              <w:rPr>
                <w:rFonts w:ascii="Calibri" w:hAnsi="Calibri"/>
                <w:color w:val="000000"/>
              </w:rPr>
              <w:t>-0.215</w:t>
            </w:r>
          </w:p>
        </w:tc>
        <w:tc>
          <w:tcPr>
            <w:tcW w:w="236" w:type="dxa"/>
            <w:vAlign w:val="center"/>
          </w:tcPr>
          <w:p w:rsidR="006B67F6" w:rsidRDefault="006B67F6">
            <w:pPr>
              <w:rPr>
                <w:rFonts w:ascii="Calibri" w:hAnsi="Calibri"/>
                <w:color w:val="000000"/>
              </w:rPr>
            </w:pPr>
          </w:p>
        </w:tc>
        <w:tc>
          <w:tcPr>
            <w:tcW w:w="1361" w:type="dxa"/>
            <w:vAlign w:val="center"/>
          </w:tcPr>
          <w:p w:rsidR="006B67F6" w:rsidRDefault="006B67F6">
            <w:pPr>
              <w:rPr>
                <w:rFonts w:ascii="Calibri" w:hAnsi="Calibri"/>
                <w:b/>
                <w:bCs/>
                <w:color w:val="548DD4"/>
              </w:rPr>
            </w:pPr>
            <w:r>
              <w:rPr>
                <w:rFonts w:ascii="Calibri" w:hAnsi="Calibri"/>
                <w:b/>
                <w:bCs/>
                <w:color w:val="548DD4"/>
              </w:rPr>
              <w:t>3.562 ***</w:t>
            </w:r>
          </w:p>
        </w:tc>
        <w:tc>
          <w:tcPr>
            <w:tcW w:w="236" w:type="dxa"/>
            <w:vAlign w:val="center"/>
          </w:tcPr>
          <w:p w:rsidR="006B67F6" w:rsidRDefault="006B67F6">
            <w:pPr>
              <w:rPr>
                <w:rFonts w:ascii="Calibri" w:hAnsi="Calibri"/>
                <w:color w:val="000000"/>
              </w:rPr>
            </w:pPr>
          </w:p>
        </w:tc>
        <w:tc>
          <w:tcPr>
            <w:tcW w:w="1361" w:type="dxa"/>
            <w:vAlign w:val="center"/>
          </w:tcPr>
          <w:p w:rsidR="006B67F6" w:rsidRDefault="006B67F6">
            <w:pPr>
              <w:rPr>
                <w:rFonts w:ascii="Calibri" w:hAnsi="Calibri"/>
                <w:b/>
                <w:bCs/>
                <w:color w:val="548DD4"/>
              </w:rPr>
            </w:pPr>
            <w:r>
              <w:rPr>
                <w:rFonts w:ascii="Calibri" w:hAnsi="Calibri"/>
                <w:b/>
                <w:bCs/>
                <w:color w:val="548DD4"/>
              </w:rPr>
              <w:t>4.626 ***</w:t>
            </w:r>
          </w:p>
        </w:tc>
        <w:tc>
          <w:tcPr>
            <w:tcW w:w="236" w:type="dxa"/>
            <w:vAlign w:val="center"/>
          </w:tcPr>
          <w:p w:rsidR="006B67F6" w:rsidRDefault="006B67F6">
            <w:pPr>
              <w:rPr>
                <w:rFonts w:ascii="Calibri" w:hAnsi="Calibri"/>
                <w:color w:val="000000"/>
              </w:rPr>
            </w:pPr>
          </w:p>
        </w:tc>
        <w:tc>
          <w:tcPr>
            <w:tcW w:w="1361" w:type="dxa"/>
            <w:vAlign w:val="center"/>
          </w:tcPr>
          <w:p w:rsidR="006B67F6" w:rsidRDefault="006B67F6">
            <w:pPr>
              <w:rPr>
                <w:rFonts w:ascii="Calibri" w:hAnsi="Calibri"/>
                <w:b/>
                <w:bCs/>
                <w:color w:val="548DD4"/>
              </w:rPr>
            </w:pPr>
            <w:r>
              <w:rPr>
                <w:rFonts w:ascii="Calibri" w:hAnsi="Calibri"/>
                <w:b/>
                <w:bCs/>
                <w:color w:val="548DD4"/>
              </w:rPr>
              <w:t>3.746 ***</w:t>
            </w:r>
          </w:p>
        </w:tc>
      </w:tr>
      <w:tr w:rsidR="006B67F6" w:rsidRPr="00724F7E" w:rsidTr="00326B4F">
        <w:trPr>
          <w:trHeight w:val="254"/>
          <w:jc w:val="center"/>
        </w:trPr>
        <w:tc>
          <w:tcPr>
            <w:tcW w:w="1247" w:type="dxa"/>
            <w:vMerge/>
            <w:vAlign w:val="center"/>
          </w:tcPr>
          <w:p w:rsidR="006B67F6" w:rsidRDefault="006B67F6" w:rsidP="00CB3BD3">
            <w:pPr>
              <w:rPr>
                <w:rFonts w:ascii="Calibri" w:hAnsi="Calibri"/>
                <w:color w:val="000000"/>
                <w:sz w:val="20"/>
                <w:szCs w:val="20"/>
              </w:rPr>
            </w:pPr>
          </w:p>
        </w:tc>
        <w:tc>
          <w:tcPr>
            <w:tcW w:w="236" w:type="dxa"/>
          </w:tcPr>
          <w:p w:rsidR="006B67F6" w:rsidRPr="00724F7E" w:rsidRDefault="006B67F6" w:rsidP="00CB3BD3">
            <w:pPr>
              <w:jc w:val="center"/>
              <w:rPr>
                <w:sz w:val="20"/>
                <w:szCs w:val="20"/>
              </w:rPr>
            </w:pPr>
          </w:p>
        </w:tc>
        <w:tc>
          <w:tcPr>
            <w:tcW w:w="1361" w:type="dxa"/>
            <w:vAlign w:val="center"/>
          </w:tcPr>
          <w:p w:rsidR="006B67F6" w:rsidRDefault="006B67F6">
            <w:pPr>
              <w:jc w:val="right"/>
              <w:rPr>
                <w:rFonts w:ascii="Calibri" w:hAnsi="Calibri"/>
                <w:color w:val="000000"/>
                <w:sz w:val="18"/>
                <w:szCs w:val="18"/>
              </w:rPr>
            </w:pPr>
            <w:r>
              <w:rPr>
                <w:rFonts w:ascii="Calibri" w:hAnsi="Calibri"/>
                <w:color w:val="000000"/>
                <w:sz w:val="18"/>
                <w:szCs w:val="18"/>
              </w:rPr>
              <w:t>0.00%</w:t>
            </w:r>
          </w:p>
        </w:tc>
        <w:tc>
          <w:tcPr>
            <w:tcW w:w="236" w:type="dxa"/>
            <w:vAlign w:val="center"/>
          </w:tcPr>
          <w:p w:rsidR="006B67F6" w:rsidRDefault="006B67F6">
            <w:pPr>
              <w:jc w:val="right"/>
              <w:rPr>
                <w:rFonts w:ascii="Calibri" w:hAnsi="Calibri"/>
                <w:color w:val="000000"/>
                <w:sz w:val="18"/>
                <w:szCs w:val="18"/>
              </w:rPr>
            </w:pPr>
          </w:p>
        </w:tc>
        <w:tc>
          <w:tcPr>
            <w:tcW w:w="1361" w:type="dxa"/>
            <w:vAlign w:val="center"/>
          </w:tcPr>
          <w:p w:rsidR="006B67F6" w:rsidRDefault="006B67F6">
            <w:pPr>
              <w:jc w:val="right"/>
              <w:rPr>
                <w:rFonts w:ascii="Calibri" w:hAnsi="Calibri"/>
                <w:color w:val="000000"/>
                <w:sz w:val="18"/>
                <w:szCs w:val="18"/>
              </w:rPr>
            </w:pPr>
            <w:r>
              <w:rPr>
                <w:rFonts w:ascii="Calibri" w:hAnsi="Calibri"/>
                <w:color w:val="000000"/>
                <w:sz w:val="18"/>
                <w:szCs w:val="18"/>
              </w:rPr>
              <w:t>2.47%</w:t>
            </w:r>
          </w:p>
        </w:tc>
        <w:tc>
          <w:tcPr>
            <w:tcW w:w="236" w:type="dxa"/>
            <w:vAlign w:val="center"/>
          </w:tcPr>
          <w:p w:rsidR="006B67F6" w:rsidRDefault="006B67F6">
            <w:pPr>
              <w:jc w:val="right"/>
              <w:rPr>
                <w:rFonts w:ascii="Calibri" w:hAnsi="Calibri"/>
                <w:color w:val="000000"/>
                <w:sz w:val="18"/>
                <w:szCs w:val="18"/>
              </w:rPr>
            </w:pPr>
          </w:p>
        </w:tc>
        <w:tc>
          <w:tcPr>
            <w:tcW w:w="1361" w:type="dxa"/>
            <w:vAlign w:val="center"/>
          </w:tcPr>
          <w:p w:rsidR="006B67F6" w:rsidRDefault="006B67F6">
            <w:pPr>
              <w:jc w:val="right"/>
              <w:rPr>
                <w:rFonts w:ascii="Calibri" w:hAnsi="Calibri"/>
                <w:color w:val="000000"/>
                <w:sz w:val="18"/>
                <w:szCs w:val="18"/>
              </w:rPr>
            </w:pPr>
            <w:r>
              <w:rPr>
                <w:rFonts w:ascii="Calibri" w:hAnsi="Calibri"/>
                <w:color w:val="000000"/>
                <w:sz w:val="18"/>
                <w:szCs w:val="18"/>
              </w:rPr>
              <w:t>10.92%</w:t>
            </w:r>
          </w:p>
        </w:tc>
        <w:tc>
          <w:tcPr>
            <w:tcW w:w="236" w:type="dxa"/>
            <w:vAlign w:val="center"/>
          </w:tcPr>
          <w:p w:rsidR="006B67F6" w:rsidRDefault="006B67F6">
            <w:pPr>
              <w:jc w:val="right"/>
              <w:rPr>
                <w:rFonts w:ascii="Calibri" w:hAnsi="Calibri"/>
                <w:color w:val="000000"/>
                <w:sz w:val="18"/>
                <w:szCs w:val="18"/>
              </w:rPr>
            </w:pPr>
          </w:p>
        </w:tc>
        <w:tc>
          <w:tcPr>
            <w:tcW w:w="1361" w:type="dxa"/>
            <w:vAlign w:val="center"/>
          </w:tcPr>
          <w:p w:rsidR="006B67F6" w:rsidRDefault="006B67F6">
            <w:pPr>
              <w:jc w:val="right"/>
              <w:rPr>
                <w:rFonts w:ascii="Calibri" w:hAnsi="Calibri"/>
                <w:color w:val="000000"/>
                <w:sz w:val="18"/>
                <w:szCs w:val="18"/>
              </w:rPr>
            </w:pPr>
            <w:r>
              <w:rPr>
                <w:rFonts w:ascii="Calibri" w:hAnsi="Calibri"/>
                <w:color w:val="000000"/>
                <w:sz w:val="18"/>
                <w:szCs w:val="18"/>
              </w:rPr>
              <w:t>4.51%</w:t>
            </w:r>
          </w:p>
        </w:tc>
      </w:tr>
      <w:tr w:rsidR="006B67F6" w:rsidRPr="00724F7E" w:rsidTr="00326B4F">
        <w:trPr>
          <w:trHeight w:val="254"/>
          <w:jc w:val="center"/>
        </w:trPr>
        <w:tc>
          <w:tcPr>
            <w:tcW w:w="1247" w:type="dxa"/>
            <w:vMerge w:val="restart"/>
            <w:vAlign w:val="center"/>
          </w:tcPr>
          <w:p w:rsidR="006B67F6" w:rsidRDefault="006B67F6" w:rsidP="00CB3BD3">
            <w:pPr>
              <w:rPr>
                <w:rFonts w:ascii="Calibri" w:hAnsi="Calibri"/>
                <w:color w:val="000000"/>
                <w:sz w:val="20"/>
                <w:szCs w:val="20"/>
              </w:rPr>
            </w:pPr>
            <w:r>
              <w:rPr>
                <w:rFonts w:ascii="Calibri" w:hAnsi="Calibri"/>
                <w:color w:val="000000"/>
                <w:sz w:val="20"/>
                <w:szCs w:val="20"/>
              </w:rPr>
              <w:t>Netherlands</w:t>
            </w:r>
          </w:p>
        </w:tc>
        <w:tc>
          <w:tcPr>
            <w:tcW w:w="236" w:type="dxa"/>
          </w:tcPr>
          <w:p w:rsidR="006B67F6" w:rsidRPr="00724F7E" w:rsidRDefault="006B67F6" w:rsidP="00CB3BD3">
            <w:pPr>
              <w:jc w:val="center"/>
              <w:rPr>
                <w:sz w:val="20"/>
                <w:szCs w:val="20"/>
              </w:rPr>
            </w:pPr>
          </w:p>
        </w:tc>
        <w:tc>
          <w:tcPr>
            <w:tcW w:w="1361" w:type="dxa"/>
            <w:vAlign w:val="center"/>
          </w:tcPr>
          <w:p w:rsidR="006B67F6" w:rsidRDefault="006B67F6">
            <w:pPr>
              <w:rPr>
                <w:rFonts w:ascii="Calibri" w:hAnsi="Calibri"/>
                <w:color w:val="000000"/>
              </w:rPr>
            </w:pPr>
            <w:r>
              <w:rPr>
                <w:rFonts w:ascii="Calibri" w:hAnsi="Calibri"/>
                <w:color w:val="000000"/>
              </w:rPr>
              <w:t>-1.775</w:t>
            </w:r>
          </w:p>
        </w:tc>
        <w:tc>
          <w:tcPr>
            <w:tcW w:w="236" w:type="dxa"/>
            <w:vAlign w:val="center"/>
          </w:tcPr>
          <w:p w:rsidR="006B67F6" w:rsidRDefault="006B67F6">
            <w:pPr>
              <w:rPr>
                <w:rFonts w:ascii="Calibri" w:hAnsi="Calibri"/>
                <w:color w:val="000000"/>
              </w:rPr>
            </w:pPr>
          </w:p>
        </w:tc>
        <w:tc>
          <w:tcPr>
            <w:tcW w:w="1361" w:type="dxa"/>
            <w:vAlign w:val="center"/>
          </w:tcPr>
          <w:p w:rsidR="006B67F6" w:rsidRDefault="006B67F6">
            <w:pPr>
              <w:rPr>
                <w:rFonts w:ascii="Calibri" w:hAnsi="Calibri"/>
                <w:b/>
                <w:bCs/>
                <w:color w:val="548DD4"/>
              </w:rPr>
            </w:pPr>
            <w:r>
              <w:rPr>
                <w:rFonts w:ascii="Calibri" w:hAnsi="Calibri"/>
                <w:b/>
                <w:bCs/>
                <w:color w:val="548DD4"/>
              </w:rPr>
              <w:t>1.696 ***</w:t>
            </w:r>
          </w:p>
        </w:tc>
        <w:tc>
          <w:tcPr>
            <w:tcW w:w="236" w:type="dxa"/>
            <w:vAlign w:val="center"/>
          </w:tcPr>
          <w:p w:rsidR="006B67F6" w:rsidRDefault="006B67F6">
            <w:pPr>
              <w:rPr>
                <w:rFonts w:ascii="Calibri" w:hAnsi="Calibri"/>
                <w:color w:val="000000"/>
              </w:rPr>
            </w:pPr>
          </w:p>
        </w:tc>
        <w:tc>
          <w:tcPr>
            <w:tcW w:w="1361" w:type="dxa"/>
            <w:vAlign w:val="center"/>
          </w:tcPr>
          <w:p w:rsidR="006B67F6" w:rsidRDefault="006B67F6">
            <w:pPr>
              <w:rPr>
                <w:rFonts w:ascii="Calibri" w:hAnsi="Calibri"/>
                <w:b/>
                <w:bCs/>
                <w:color w:val="548DD4"/>
              </w:rPr>
            </w:pPr>
            <w:r>
              <w:rPr>
                <w:rFonts w:ascii="Calibri" w:hAnsi="Calibri"/>
                <w:b/>
                <w:bCs/>
                <w:color w:val="548DD4"/>
              </w:rPr>
              <w:t>3.716 ***</w:t>
            </w:r>
          </w:p>
        </w:tc>
        <w:tc>
          <w:tcPr>
            <w:tcW w:w="236" w:type="dxa"/>
            <w:vAlign w:val="center"/>
          </w:tcPr>
          <w:p w:rsidR="006B67F6" w:rsidRDefault="006B67F6">
            <w:pPr>
              <w:rPr>
                <w:rFonts w:ascii="Calibri" w:hAnsi="Calibri"/>
                <w:color w:val="000000"/>
              </w:rPr>
            </w:pPr>
          </w:p>
        </w:tc>
        <w:tc>
          <w:tcPr>
            <w:tcW w:w="1361" w:type="dxa"/>
            <w:vAlign w:val="center"/>
          </w:tcPr>
          <w:p w:rsidR="006B67F6" w:rsidRDefault="006B67F6">
            <w:pPr>
              <w:rPr>
                <w:rFonts w:ascii="Calibri" w:hAnsi="Calibri"/>
                <w:b/>
                <w:bCs/>
                <w:color w:val="548DD4"/>
              </w:rPr>
            </w:pPr>
            <w:r>
              <w:rPr>
                <w:rFonts w:ascii="Calibri" w:hAnsi="Calibri"/>
                <w:b/>
                <w:bCs/>
                <w:color w:val="548DD4"/>
              </w:rPr>
              <w:t>1.576 ***</w:t>
            </w:r>
          </w:p>
        </w:tc>
      </w:tr>
      <w:tr w:rsidR="006B67F6" w:rsidRPr="00724F7E" w:rsidTr="00326B4F">
        <w:trPr>
          <w:trHeight w:val="254"/>
          <w:jc w:val="center"/>
        </w:trPr>
        <w:tc>
          <w:tcPr>
            <w:tcW w:w="1247" w:type="dxa"/>
            <w:vMerge/>
            <w:vAlign w:val="center"/>
          </w:tcPr>
          <w:p w:rsidR="006B67F6" w:rsidRDefault="006B67F6" w:rsidP="00CB3BD3">
            <w:pPr>
              <w:rPr>
                <w:rFonts w:ascii="Calibri" w:hAnsi="Calibri"/>
                <w:color w:val="000000"/>
                <w:sz w:val="20"/>
                <w:szCs w:val="20"/>
              </w:rPr>
            </w:pPr>
          </w:p>
        </w:tc>
        <w:tc>
          <w:tcPr>
            <w:tcW w:w="236" w:type="dxa"/>
          </w:tcPr>
          <w:p w:rsidR="006B67F6" w:rsidRPr="00724F7E" w:rsidRDefault="006B67F6" w:rsidP="00CB3BD3">
            <w:pPr>
              <w:jc w:val="center"/>
              <w:rPr>
                <w:sz w:val="20"/>
                <w:szCs w:val="20"/>
              </w:rPr>
            </w:pPr>
          </w:p>
        </w:tc>
        <w:tc>
          <w:tcPr>
            <w:tcW w:w="1361" w:type="dxa"/>
            <w:vAlign w:val="center"/>
          </w:tcPr>
          <w:p w:rsidR="006B67F6" w:rsidRDefault="006B67F6">
            <w:pPr>
              <w:jc w:val="right"/>
              <w:rPr>
                <w:rFonts w:ascii="Calibri" w:hAnsi="Calibri"/>
                <w:color w:val="000000"/>
                <w:sz w:val="18"/>
                <w:szCs w:val="18"/>
              </w:rPr>
            </w:pPr>
            <w:r>
              <w:rPr>
                <w:rFonts w:ascii="Calibri" w:hAnsi="Calibri"/>
                <w:color w:val="000000"/>
                <w:sz w:val="18"/>
                <w:szCs w:val="18"/>
              </w:rPr>
              <w:t>0.05%</w:t>
            </w:r>
          </w:p>
        </w:tc>
        <w:tc>
          <w:tcPr>
            <w:tcW w:w="236" w:type="dxa"/>
            <w:vAlign w:val="center"/>
          </w:tcPr>
          <w:p w:rsidR="006B67F6" w:rsidRDefault="006B67F6">
            <w:pPr>
              <w:jc w:val="right"/>
              <w:rPr>
                <w:rFonts w:ascii="Calibri" w:hAnsi="Calibri"/>
                <w:color w:val="000000"/>
                <w:sz w:val="18"/>
                <w:szCs w:val="18"/>
              </w:rPr>
            </w:pPr>
          </w:p>
        </w:tc>
        <w:tc>
          <w:tcPr>
            <w:tcW w:w="1361" w:type="dxa"/>
            <w:vAlign w:val="center"/>
          </w:tcPr>
          <w:p w:rsidR="006B67F6" w:rsidRDefault="006B67F6">
            <w:pPr>
              <w:jc w:val="right"/>
              <w:rPr>
                <w:rFonts w:ascii="Calibri" w:hAnsi="Calibri"/>
                <w:color w:val="000000"/>
                <w:sz w:val="18"/>
                <w:szCs w:val="18"/>
              </w:rPr>
            </w:pPr>
            <w:r>
              <w:rPr>
                <w:rFonts w:ascii="Calibri" w:hAnsi="Calibri"/>
                <w:color w:val="000000"/>
                <w:sz w:val="18"/>
                <w:szCs w:val="18"/>
              </w:rPr>
              <w:t>1.15%</w:t>
            </w:r>
          </w:p>
        </w:tc>
        <w:tc>
          <w:tcPr>
            <w:tcW w:w="236" w:type="dxa"/>
            <w:vAlign w:val="center"/>
          </w:tcPr>
          <w:p w:rsidR="006B67F6" w:rsidRDefault="006B67F6">
            <w:pPr>
              <w:jc w:val="right"/>
              <w:rPr>
                <w:rFonts w:ascii="Calibri" w:hAnsi="Calibri"/>
                <w:color w:val="000000"/>
                <w:sz w:val="18"/>
                <w:szCs w:val="18"/>
              </w:rPr>
            </w:pPr>
          </w:p>
        </w:tc>
        <w:tc>
          <w:tcPr>
            <w:tcW w:w="1361" w:type="dxa"/>
            <w:vAlign w:val="center"/>
          </w:tcPr>
          <w:p w:rsidR="006B67F6" w:rsidRDefault="006B67F6">
            <w:pPr>
              <w:jc w:val="right"/>
              <w:rPr>
                <w:rFonts w:ascii="Calibri" w:hAnsi="Calibri"/>
                <w:color w:val="000000"/>
                <w:sz w:val="18"/>
                <w:szCs w:val="18"/>
              </w:rPr>
            </w:pPr>
            <w:r>
              <w:rPr>
                <w:rFonts w:ascii="Calibri" w:hAnsi="Calibri"/>
                <w:color w:val="000000"/>
                <w:sz w:val="18"/>
                <w:szCs w:val="18"/>
              </w:rPr>
              <w:t>6.99%</w:t>
            </w:r>
          </w:p>
        </w:tc>
        <w:tc>
          <w:tcPr>
            <w:tcW w:w="236" w:type="dxa"/>
            <w:vAlign w:val="center"/>
          </w:tcPr>
          <w:p w:rsidR="006B67F6" w:rsidRDefault="006B67F6">
            <w:pPr>
              <w:jc w:val="right"/>
              <w:rPr>
                <w:rFonts w:ascii="Calibri" w:hAnsi="Calibri"/>
                <w:color w:val="000000"/>
                <w:sz w:val="18"/>
                <w:szCs w:val="18"/>
              </w:rPr>
            </w:pPr>
          </w:p>
        </w:tc>
        <w:tc>
          <w:tcPr>
            <w:tcW w:w="1361" w:type="dxa"/>
            <w:vAlign w:val="center"/>
          </w:tcPr>
          <w:p w:rsidR="006B67F6" w:rsidRDefault="006B67F6">
            <w:pPr>
              <w:jc w:val="right"/>
              <w:rPr>
                <w:rFonts w:ascii="Calibri" w:hAnsi="Calibri"/>
                <w:color w:val="000000"/>
                <w:sz w:val="18"/>
                <w:szCs w:val="18"/>
              </w:rPr>
            </w:pPr>
            <w:r>
              <w:rPr>
                <w:rFonts w:ascii="Calibri" w:hAnsi="Calibri"/>
                <w:color w:val="000000"/>
                <w:sz w:val="18"/>
                <w:szCs w:val="18"/>
              </w:rPr>
              <w:t>1.25%</w:t>
            </w:r>
          </w:p>
        </w:tc>
      </w:tr>
      <w:tr w:rsidR="006B67F6" w:rsidRPr="00724F7E" w:rsidTr="00326B4F">
        <w:trPr>
          <w:trHeight w:val="254"/>
          <w:jc w:val="center"/>
        </w:trPr>
        <w:tc>
          <w:tcPr>
            <w:tcW w:w="1247" w:type="dxa"/>
            <w:vMerge w:val="restart"/>
            <w:vAlign w:val="center"/>
          </w:tcPr>
          <w:p w:rsidR="006B67F6" w:rsidRDefault="006B67F6" w:rsidP="00CB3BD3">
            <w:pPr>
              <w:rPr>
                <w:rFonts w:ascii="Calibri" w:hAnsi="Calibri"/>
                <w:color w:val="000000"/>
                <w:sz w:val="20"/>
                <w:szCs w:val="20"/>
              </w:rPr>
            </w:pPr>
            <w:r>
              <w:rPr>
                <w:rFonts w:ascii="Calibri" w:hAnsi="Calibri"/>
                <w:color w:val="000000"/>
                <w:sz w:val="20"/>
                <w:szCs w:val="20"/>
              </w:rPr>
              <w:t>Finland</w:t>
            </w:r>
          </w:p>
        </w:tc>
        <w:tc>
          <w:tcPr>
            <w:tcW w:w="236" w:type="dxa"/>
          </w:tcPr>
          <w:p w:rsidR="006B67F6" w:rsidRPr="00724F7E" w:rsidRDefault="006B67F6" w:rsidP="00CB3BD3">
            <w:pPr>
              <w:jc w:val="center"/>
              <w:rPr>
                <w:sz w:val="20"/>
                <w:szCs w:val="20"/>
              </w:rPr>
            </w:pPr>
          </w:p>
        </w:tc>
        <w:tc>
          <w:tcPr>
            <w:tcW w:w="1361" w:type="dxa"/>
            <w:vAlign w:val="center"/>
          </w:tcPr>
          <w:p w:rsidR="006B67F6" w:rsidRDefault="006B67F6">
            <w:pPr>
              <w:rPr>
                <w:rFonts w:ascii="Calibri" w:hAnsi="Calibri"/>
                <w:b/>
                <w:bCs/>
                <w:color w:val="548DD4"/>
              </w:rPr>
            </w:pPr>
            <w:r>
              <w:rPr>
                <w:rFonts w:ascii="Calibri" w:hAnsi="Calibri"/>
                <w:b/>
                <w:bCs/>
                <w:color w:val="548DD4"/>
              </w:rPr>
              <w:t>5.585 *</w:t>
            </w:r>
          </w:p>
        </w:tc>
        <w:tc>
          <w:tcPr>
            <w:tcW w:w="236" w:type="dxa"/>
            <w:vAlign w:val="center"/>
          </w:tcPr>
          <w:p w:rsidR="006B67F6" w:rsidRDefault="006B67F6">
            <w:pPr>
              <w:rPr>
                <w:rFonts w:ascii="Calibri" w:hAnsi="Calibri"/>
                <w:color w:val="000000"/>
              </w:rPr>
            </w:pPr>
          </w:p>
        </w:tc>
        <w:tc>
          <w:tcPr>
            <w:tcW w:w="1361" w:type="dxa"/>
            <w:vAlign w:val="center"/>
          </w:tcPr>
          <w:p w:rsidR="006B67F6" w:rsidRDefault="006B67F6">
            <w:pPr>
              <w:rPr>
                <w:rFonts w:ascii="Calibri" w:hAnsi="Calibri"/>
                <w:b/>
                <w:bCs/>
                <w:color w:val="548DD4"/>
              </w:rPr>
            </w:pPr>
            <w:r>
              <w:rPr>
                <w:rFonts w:ascii="Calibri" w:hAnsi="Calibri"/>
                <w:b/>
                <w:bCs/>
                <w:color w:val="548DD4"/>
              </w:rPr>
              <w:t>1.466 **</w:t>
            </w:r>
          </w:p>
        </w:tc>
        <w:tc>
          <w:tcPr>
            <w:tcW w:w="236" w:type="dxa"/>
            <w:vAlign w:val="center"/>
          </w:tcPr>
          <w:p w:rsidR="006B67F6" w:rsidRDefault="006B67F6">
            <w:pPr>
              <w:rPr>
                <w:rFonts w:ascii="Calibri" w:hAnsi="Calibri"/>
                <w:color w:val="000000"/>
              </w:rPr>
            </w:pPr>
          </w:p>
        </w:tc>
        <w:tc>
          <w:tcPr>
            <w:tcW w:w="1361" w:type="dxa"/>
            <w:vAlign w:val="center"/>
          </w:tcPr>
          <w:p w:rsidR="006B67F6" w:rsidRDefault="006B67F6">
            <w:pPr>
              <w:rPr>
                <w:rFonts w:ascii="Calibri" w:hAnsi="Calibri"/>
                <w:b/>
                <w:bCs/>
                <w:color w:val="548DD4"/>
              </w:rPr>
            </w:pPr>
            <w:r>
              <w:rPr>
                <w:rFonts w:ascii="Calibri" w:hAnsi="Calibri"/>
                <w:b/>
                <w:bCs/>
                <w:color w:val="548DD4"/>
              </w:rPr>
              <w:t>3.943 ***</w:t>
            </w:r>
          </w:p>
        </w:tc>
        <w:tc>
          <w:tcPr>
            <w:tcW w:w="236" w:type="dxa"/>
            <w:vAlign w:val="center"/>
          </w:tcPr>
          <w:p w:rsidR="006B67F6" w:rsidRDefault="006B67F6">
            <w:pPr>
              <w:rPr>
                <w:rFonts w:ascii="Calibri" w:hAnsi="Calibri"/>
                <w:color w:val="000000"/>
              </w:rPr>
            </w:pPr>
          </w:p>
        </w:tc>
        <w:tc>
          <w:tcPr>
            <w:tcW w:w="1361" w:type="dxa"/>
            <w:vAlign w:val="center"/>
          </w:tcPr>
          <w:p w:rsidR="006B67F6" w:rsidRDefault="006B67F6">
            <w:pPr>
              <w:rPr>
                <w:rFonts w:ascii="Calibri" w:hAnsi="Calibri"/>
                <w:b/>
                <w:bCs/>
                <w:color w:val="548DD4"/>
              </w:rPr>
            </w:pPr>
            <w:r>
              <w:rPr>
                <w:rFonts w:ascii="Calibri" w:hAnsi="Calibri"/>
                <w:b/>
                <w:bCs/>
                <w:color w:val="548DD4"/>
              </w:rPr>
              <w:t>2.582 ***</w:t>
            </w:r>
          </w:p>
        </w:tc>
      </w:tr>
      <w:tr w:rsidR="006B67F6" w:rsidRPr="00724F7E" w:rsidTr="00326B4F">
        <w:trPr>
          <w:trHeight w:val="254"/>
          <w:jc w:val="center"/>
        </w:trPr>
        <w:tc>
          <w:tcPr>
            <w:tcW w:w="1247" w:type="dxa"/>
            <w:vMerge/>
            <w:vAlign w:val="center"/>
          </w:tcPr>
          <w:p w:rsidR="006B67F6" w:rsidRDefault="006B67F6" w:rsidP="00CB3BD3">
            <w:pPr>
              <w:rPr>
                <w:rFonts w:ascii="Calibri" w:hAnsi="Calibri"/>
                <w:color w:val="000000"/>
                <w:sz w:val="20"/>
                <w:szCs w:val="20"/>
              </w:rPr>
            </w:pPr>
          </w:p>
        </w:tc>
        <w:tc>
          <w:tcPr>
            <w:tcW w:w="236" w:type="dxa"/>
          </w:tcPr>
          <w:p w:rsidR="006B67F6" w:rsidRPr="00724F7E" w:rsidRDefault="006B67F6" w:rsidP="00CB3BD3">
            <w:pPr>
              <w:jc w:val="center"/>
              <w:rPr>
                <w:sz w:val="20"/>
                <w:szCs w:val="20"/>
              </w:rPr>
            </w:pPr>
          </w:p>
        </w:tc>
        <w:tc>
          <w:tcPr>
            <w:tcW w:w="1361" w:type="dxa"/>
            <w:vAlign w:val="center"/>
          </w:tcPr>
          <w:p w:rsidR="006B67F6" w:rsidRDefault="006B67F6">
            <w:pPr>
              <w:jc w:val="right"/>
              <w:rPr>
                <w:rFonts w:ascii="Calibri" w:hAnsi="Calibri"/>
                <w:color w:val="000000"/>
                <w:sz w:val="18"/>
                <w:szCs w:val="18"/>
              </w:rPr>
            </w:pPr>
            <w:r>
              <w:rPr>
                <w:rFonts w:ascii="Calibri" w:hAnsi="Calibri"/>
                <w:color w:val="000000"/>
                <w:sz w:val="18"/>
                <w:szCs w:val="18"/>
              </w:rPr>
              <w:t>0.49%</w:t>
            </w:r>
          </w:p>
        </w:tc>
        <w:tc>
          <w:tcPr>
            <w:tcW w:w="236" w:type="dxa"/>
            <w:vAlign w:val="center"/>
          </w:tcPr>
          <w:p w:rsidR="006B67F6" w:rsidRDefault="006B67F6">
            <w:pPr>
              <w:jc w:val="right"/>
              <w:rPr>
                <w:rFonts w:ascii="Calibri" w:hAnsi="Calibri"/>
                <w:color w:val="000000"/>
                <w:sz w:val="18"/>
                <w:szCs w:val="18"/>
              </w:rPr>
            </w:pPr>
          </w:p>
        </w:tc>
        <w:tc>
          <w:tcPr>
            <w:tcW w:w="1361" w:type="dxa"/>
            <w:vAlign w:val="center"/>
          </w:tcPr>
          <w:p w:rsidR="006B67F6" w:rsidRDefault="006B67F6">
            <w:pPr>
              <w:jc w:val="right"/>
              <w:rPr>
                <w:rFonts w:ascii="Calibri" w:hAnsi="Calibri"/>
                <w:color w:val="000000"/>
                <w:sz w:val="18"/>
                <w:szCs w:val="18"/>
              </w:rPr>
            </w:pPr>
            <w:r>
              <w:rPr>
                <w:rFonts w:ascii="Calibri" w:hAnsi="Calibri"/>
                <w:color w:val="000000"/>
                <w:sz w:val="18"/>
                <w:szCs w:val="18"/>
              </w:rPr>
              <w:t>0.80%</w:t>
            </w:r>
          </w:p>
        </w:tc>
        <w:tc>
          <w:tcPr>
            <w:tcW w:w="236" w:type="dxa"/>
            <w:vAlign w:val="center"/>
          </w:tcPr>
          <w:p w:rsidR="006B67F6" w:rsidRDefault="006B67F6">
            <w:pPr>
              <w:jc w:val="right"/>
              <w:rPr>
                <w:rFonts w:ascii="Calibri" w:hAnsi="Calibri"/>
                <w:color w:val="000000"/>
                <w:sz w:val="18"/>
                <w:szCs w:val="18"/>
              </w:rPr>
            </w:pPr>
          </w:p>
        </w:tc>
        <w:tc>
          <w:tcPr>
            <w:tcW w:w="1361" w:type="dxa"/>
            <w:vAlign w:val="center"/>
          </w:tcPr>
          <w:p w:rsidR="006B67F6" w:rsidRDefault="006B67F6">
            <w:pPr>
              <w:jc w:val="right"/>
              <w:rPr>
                <w:rFonts w:ascii="Calibri" w:hAnsi="Calibri"/>
                <w:color w:val="000000"/>
                <w:sz w:val="18"/>
                <w:szCs w:val="18"/>
              </w:rPr>
            </w:pPr>
            <w:r>
              <w:rPr>
                <w:rFonts w:ascii="Calibri" w:hAnsi="Calibri"/>
                <w:color w:val="000000"/>
                <w:sz w:val="18"/>
                <w:szCs w:val="18"/>
              </w:rPr>
              <w:t>6.63%</w:t>
            </w:r>
          </w:p>
        </w:tc>
        <w:tc>
          <w:tcPr>
            <w:tcW w:w="236" w:type="dxa"/>
            <w:vAlign w:val="center"/>
          </w:tcPr>
          <w:p w:rsidR="006B67F6" w:rsidRDefault="006B67F6">
            <w:pPr>
              <w:jc w:val="right"/>
              <w:rPr>
                <w:rFonts w:ascii="Calibri" w:hAnsi="Calibri"/>
                <w:color w:val="000000"/>
                <w:sz w:val="18"/>
                <w:szCs w:val="18"/>
              </w:rPr>
            </w:pPr>
          </w:p>
        </w:tc>
        <w:tc>
          <w:tcPr>
            <w:tcW w:w="1361" w:type="dxa"/>
            <w:vAlign w:val="center"/>
          </w:tcPr>
          <w:p w:rsidR="006B67F6" w:rsidRDefault="006B67F6">
            <w:pPr>
              <w:jc w:val="right"/>
              <w:rPr>
                <w:rFonts w:ascii="Calibri" w:hAnsi="Calibri"/>
                <w:color w:val="000000"/>
                <w:sz w:val="18"/>
                <w:szCs w:val="18"/>
              </w:rPr>
            </w:pPr>
            <w:r>
              <w:rPr>
                <w:rFonts w:ascii="Calibri" w:hAnsi="Calibri"/>
                <w:color w:val="000000"/>
                <w:sz w:val="18"/>
                <w:szCs w:val="18"/>
              </w:rPr>
              <w:t>1.11%</w:t>
            </w:r>
          </w:p>
        </w:tc>
      </w:tr>
      <w:tr w:rsidR="006B67F6" w:rsidRPr="00724F7E" w:rsidTr="00326B4F">
        <w:trPr>
          <w:trHeight w:val="254"/>
          <w:jc w:val="center"/>
        </w:trPr>
        <w:tc>
          <w:tcPr>
            <w:tcW w:w="1247" w:type="dxa"/>
            <w:vMerge w:val="restart"/>
            <w:vAlign w:val="center"/>
          </w:tcPr>
          <w:p w:rsidR="006B67F6" w:rsidRDefault="006B67F6" w:rsidP="00CB3BD3">
            <w:pPr>
              <w:rPr>
                <w:rFonts w:ascii="Calibri" w:hAnsi="Calibri"/>
                <w:color w:val="000000"/>
                <w:sz w:val="20"/>
                <w:szCs w:val="20"/>
              </w:rPr>
            </w:pPr>
            <w:r>
              <w:rPr>
                <w:rFonts w:ascii="Calibri" w:hAnsi="Calibri"/>
                <w:color w:val="000000"/>
                <w:sz w:val="20"/>
                <w:szCs w:val="20"/>
              </w:rPr>
              <w:t>France</w:t>
            </w:r>
          </w:p>
        </w:tc>
        <w:tc>
          <w:tcPr>
            <w:tcW w:w="236" w:type="dxa"/>
          </w:tcPr>
          <w:p w:rsidR="006B67F6" w:rsidRPr="00724F7E" w:rsidRDefault="006B67F6" w:rsidP="00CB3BD3">
            <w:pPr>
              <w:jc w:val="center"/>
              <w:rPr>
                <w:sz w:val="20"/>
                <w:szCs w:val="20"/>
              </w:rPr>
            </w:pPr>
          </w:p>
        </w:tc>
        <w:tc>
          <w:tcPr>
            <w:tcW w:w="1361" w:type="dxa"/>
            <w:vAlign w:val="center"/>
          </w:tcPr>
          <w:p w:rsidR="006B67F6" w:rsidRDefault="006B67F6">
            <w:pPr>
              <w:rPr>
                <w:rFonts w:ascii="Calibri" w:hAnsi="Calibri"/>
                <w:color w:val="000000"/>
              </w:rPr>
            </w:pPr>
            <w:r w:rsidRPr="006B67F6">
              <w:rPr>
                <w:rFonts w:ascii="Calibri" w:hAnsi="Calibri"/>
                <w:b/>
                <w:bCs/>
                <w:color w:val="FF0000"/>
              </w:rPr>
              <w:t>-4.274 **</w:t>
            </w:r>
          </w:p>
        </w:tc>
        <w:tc>
          <w:tcPr>
            <w:tcW w:w="236" w:type="dxa"/>
            <w:vAlign w:val="center"/>
          </w:tcPr>
          <w:p w:rsidR="006B67F6" w:rsidRDefault="006B67F6">
            <w:pPr>
              <w:rPr>
                <w:rFonts w:ascii="Calibri" w:hAnsi="Calibri"/>
                <w:color w:val="000000"/>
              </w:rPr>
            </w:pPr>
          </w:p>
        </w:tc>
        <w:tc>
          <w:tcPr>
            <w:tcW w:w="1361" w:type="dxa"/>
            <w:vAlign w:val="center"/>
          </w:tcPr>
          <w:p w:rsidR="006B67F6" w:rsidRDefault="006B67F6">
            <w:pPr>
              <w:rPr>
                <w:rFonts w:ascii="Calibri" w:hAnsi="Calibri"/>
                <w:b/>
                <w:bCs/>
                <w:color w:val="548DD4"/>
              </w:rPr>
            </w:pPr>
            <w:r>
              <w:rPr>
                <w:rFonts w:ascii="Calibri" w:hAnsi="Calibri"/>
                <w:b/>
                <w:bCs/>
                <w:color w:val="548DD4"/>
              </w:rPr>
              <w:t>2.779 ***</w:t>
            </w:r>
          </w:p>
        </w:tc>
        <w:tc>
          <w:tcPr>
            <w:tcW w:w="236" w:type="dxa"/>
            <w:vAlign w:val="center"/>
          </w:tcPr>
          <w:p w:rsidR="006B67F6" w:rsidRDefault="006B67F6">
            <w:pPr>
              <w:rPr>
                <w:rFonts w:ascii="Calibri" w:hAnsi="Calibri"/>
                <w:color w:val="000000"/>
              </w:rPr>
            </w:pPr>
          </w:p>
        </w:tc>
        <w:tc>
          <w:tcPr>
            <w:tcW w:w="1361" w:type="dxa"/>
            <w:vAlign w:val="center"/>
          </w:tcPr>
          <w:p w:rsidR="006B67F6" w:rsidRDefault="006B67F6">
            <w:pPr>
              <w:rPr>
                <w:rFonts w:ascii="Calibri" w:hAnsi="Calibri"/>
                <w:color w:val="000000"/>
              </w:rPr>
            </w:pPr>
            <w:r>
              <w:rPr>
                <w:rFonts w:ascii="Calibri" w:hAnsi="Calibri"/>
                <w:color w:val="000000"/>
              </w:rPr>
              <w:t>0.567</w:t>
            </w:r>
          </w:p>
        </w:tc>
        <w:tc>
          <w:tcPr>
            <w:tcW w:w="236" w:type="dxa"/>
            <w:vAlign w:val="center"/>
          </w:tcPr>
          <w:p w:rsidR="006B67F6" w:rsidRDefault="006B67F6">
            <w:pPr>
              <w:rPr>
                <w:rFonts w:ascii="Calibri" w:hAnsi="Calibri"/>
                <w:color w:val="000000"/>
              </w:rPr>
            </w:pPr>
          </w:p>
        </w:tc>
        <w:tc>
          <w:tcPr>
            <w:tcW w:w="1361" w:type="dxa"/>
            <w:vAlign w:val="center"/>
          </w:tcPr>
          <w:p w:rsidR="006B67F6" w:rsidRDefault="006B67F6">
            <w:pPr>
              <w:rPr>
                <w:rFonts w:ascii="Calibri" w:hAnsi="Calibri"/>
                <w:b/>
                <w:bCs/>
                <w:color w:val="FF0000"/>
              </w:rPr>
            </w:pPr>
            <w:r>
              <w:rPr>
                <w:rFonts w:ascii="Calibri" w:hAnsi="Calibri"/>
                <w:b/>
                <w:bCs/>
                <w:color w:val="FF0000"/>
              </w:rPr>
              <w:t>-1.000 ***</w:t>
            </w:r>
          </w:p>
        </w:tc>
      </w:tr>
      <w:tr w:rsidR="006B67F6" w:rsidRPr="00724F7E" w:rsidTr="00326B4F">
        <w:trPr>
          <w:trHeight w:val="254"/>
          <w:jc w:val="center"/>
        </w:trPr>
        <w:tc>
          <w:tcPr>
            <w:tcW w:w="1247" w:type="dxa"/>
            <w:vMerge/>
            <w:vAlign w:val="center"/>
          </w:tcPr>
          <w:p w:rsidR="006B67F6" w:rsidRDefault="006B67F6" w:rsidP="00CB3BD3">
            <w:pPr>
              <w:rPr>
                <w:rFonts w:ascii="Calibri" w:hAnsi="Calibri"/>
                <w:color w:val="000000"/>
                <w:sz w:val="20"/>
                <w:szCs w:val="20"/>
              </w:rPr>
            </w:pPr>
          </w:p>
        </w:tc>
        <w:tc>
          <w:tcPr>
            <w:tcW w:w="236" w:type="dxa"/>
          </w:tcPr>
          <w:p w:rsidR="006B67F6" w:rsidRPr="00724F7E" w:rsidRDefault="006B67F6" w:rsidP="00CB3BD3">
            <w:pPr>
              <w:jc w:val="center"/>
              <w:rPr>
                <w:sz w:val="20"/>
                <w:szCs w:val="20"/>
              </w:rPr>
            </w:pPr>
          </w:p>
        </w:tc>
        <w:tc>
          <w:tcPr>
            <w:tcW w:w="1361" w:type="dxa"/>
            <w:vAlign w:val="center"/>
          </w:tcPr>
          <w:p w:rsidR="006B67F6" w:rsidRDefault="006B67F6">
            <w:pPr>
              <w:jc w:val="right"/>
              <w:rPr>
                <w:rFonts w:ascii="Calibri" w:hAnsi="Calibri"/>
                <w:color w:val="000000"/>
                <w:sz w:val="18"/>
                <w:szCs w:val="18"/>
              </w:rPr>
            </w:pPr>
            <w:r>
              <w:rPr>
                <w:rFonts w:ascii="Calibri" w:hAnsi="Calibri"/>
                <w:color w:val="000000"/>
                <w:sz w:val="18"/>
                <w:szCs w:val="18"/>
              </w:rPr>
              <w:t>0.68%</w:t>
            </w:r>
          </w:p>
        </w:tc>
        <w:tc>
          <w:tcPr>
            <w:tcW w:w="236" w:type="dxa"/>
            <w:vAlign w:val="center"/>
          </w:tcPr>
          <w:p w:rsidR="006B67F6" w:rsidRDefault="006B67F6">
            <w:pPr>
              <w:jc w:val="right"/>
              <w:rPr>
                <w:rFonts w:ascii="Calibri" w:hAnsi="Calibri"/>
                <w:color w:val="000000"/>
                <w:sz w:val="18"/>
                <w:szCs w:val="18"/>
              </w:rPr>
            </w:pPr>
          </w:p>
        </w:tc>
        <w:tc>
          <w:tcPr>
            <w:tcW w:w="1361" w:type="dxa"/>
            <w:vAlign w:val="center"/>
          </w:tcPr>
          <w:p w:rsidR="006B67F6" w:rsidRDefault="006B67F6">
            <w:pPr>
              <w:jc w:val="right"/>
              <w:rPr>
                <w:rFonts w:ascii="Calibri" w:hAnsi="Calibri"/>
                <w:color w:val="000000"/>
                <w:sz w:val="18"/>
                <w:szCs w:val="18"/>
              </w:rPr>
            </w:pPr>
            <w:r>
              <w:rPr>
                <w:rFonts w:ascii="Calibri" w:hAnsi="Calibri"/>
                <w:color w:val="000000"/>
                <w:sz w:val="18"/>
                <w:szCs w:val="18"/>
              </w:rPr>
              <w:t>1.65%</w:t>
            </w:r>
          </w:p>
        </w:tc>
        <w:tc>
          <w:tcPr>
            <w:tcW w:w="236" w:type="dxa"/>
            <w:vAlign w:val="center"/>
          </w:tcPr>
          <w:p w:rsidR="006B67F6" w:rsidRDefault="006B67F6">
            <w:pPr>
              <w:jc w:val="right"/>
              <w:rPr>
                <w:rFonts w:ascii="Calibri" w:hAnsi="Calibri"/>
                <w:color w:val="000000"/>
                <w:sz w:val="18"/>
                <w:szCs w:val="18"/>
              </w:rPr>
            </w:pPr>
          </w:p>
        </w:tc>
        <w:tc>
          <w:tcPr>
            <w:tcW w:w="1361" w:type="dxa"/>
            <w:vAlign w:val="center"/>
          </w:tcPr>
          <w:p w:rsidR="006B67F6" w:rsidRDefault="006B67F6">
            <w:pPr>
              <w:jc w:val="right"/>
              <w:rPr>
                <w:rFonts w:ascii="Calibri" w:hAnsi="Calibri"/>
                <w:color w:val="000000"/>
                <w:sz w:val="18"/>
                <w:szCs w:val="18"/>
              </w:rPr>
            </w:pPr>
            <w:r>
              <w:rPr>
                <w:rFonts w:ascii="Calibri" w:hAnsi="Calibri"/>
                <w:color w:val="000000"/>
                <w:sz w:val="18"/>
                <w:szCs w:val="18"/>
              </w:rPr>
              <w:t>0.53%</w:t>
            </w:r>
          </w:p>
        </w:tc>
        <w:tc>
          <w:tcPr>
            <w:tcW w:w="236" w:type="dxa"/>
            <w:vAlign w:val="center"/>
          </w:tcPr>
          <w:p w:rsidR="006B67F6" w:rsidRDefault="006B67F6">
            <w:pPr>
              <w:jc w:val="right"/>
              <w:rPr>
                <w:rFonts w:ascii="Calibri" w:hAnsi="Calibri"/>
                <w:color w:val="000000"/>
                <w:sz w:val="18"/>
                <w:szCs w:val="18"/>
              </w:rPr>
            </w:pPr>
          </w:p>
        </w:tc>
        <w:tc>
          <w:tcPr>
            <w:tcW w:w="1361" w:type="dxa"/>
            <w:vAlign w:val="center"/>
          </w:tcPr>
          <w:p w:rsidR="006B67F6" w:rsidRDefault="006B67F6">
            <w:pPr>
              <w:jc w:val="right"/>
              <w:rPr>
                <w:rFonts w:ascii="Calibri" w:hAnsi="Calibri"/>
                <w:color w:val="000000"/>
                <w:sz w:val="18"/>
                <w:szCs w:val="18"/>
              </w:rPr>
            </w:pPr>
            <w:r>
              <w:rPr>
                <w:rFonts w:ascii="Calibri" w:hAnsi="Calibri"/>
                <w:color w:val="000000"/>
                <w:sz w:val="18"/>
                <w:szCs w:val="18"/>
              </w:rPr>
              <w:t>1.73%</w:t>
            </w:r>
          </w:p>
        </w:tc>
      </w:tr>
      <w:tr w:rsidR="006B67F6" w:rsidRPr="00724F7E" w:rsidTr="00326B4F">
        <w:trPr>
          <w:trHeight w:val="254"/>
          <w:jc w:val="center"/>
        </w:trPr>
        <w:tc>
          <w:tcPr>
            <w:tcW w:w="1247" w:type="dxa"/>
            <w:vMerge w:val="restart"/>
            <w:vAlign w:val="center"/>
          </w:tcPr>
          <w:p w:rsidR="006B67F6" w:rsidRDefault="006B67F6" w:rsidP="00CB3BD3">
            <w:pPr>
              <w:rPr>
                <w:rFonts w:ascii="Calibri" w:hAnsi="Calibri"/>
                <w:color w:val="000000"/>
                <w:sz w:val="20"/>
                <w:szCs w:val="20"/>
              </w:rPr>
            </w:pPr>
            <w:r>
              <w:rPr>
                <w:rFonts w:ascii="Calibri" w:hAnsi="Calibri"/>
                <w:color w:val="000000"/>
                <w:sz w:val="20"/>
                <w:szCs w:val="20"/>
              </w:rPr>
              <w:t>Austria</w:t>
            </w:r>
          </w:p>
        </w:tc>
        <w:tc>
          <w:tcPr>
            <w:tcW w:w="236" w:type="dxa"/>
          </w:tcPr>
          <w:p w:rsidR="006B67F6" w:rsidRPr="00724F7E" w:rsidRDefault="006B67F6" w:rsidP="00CB3BD3">
            <w:pPr>
              <w:jc w:val="center"/>
              <w:rPr>
                <w:sz w:val="20"/>
                <w:szCs w:val="20"/>
              </w:rPr>
            </w:pPr>
          </w:p>
        </w:tc>
        <w:tc>
          <w:tcPr>
            <w:tcW w:w="1361" w:type="dxa"/>
            <w:vAlign w:val="center"/>
          </w:tcPr>
          <w:p w:rsidR="006B67F6" w:rsidRDefault="006B67F6">
            <w:pPr>
              <w:rPr>
                <w:rFonts w:ascii="Calibri" w:hAnsi="Calibri"/>
                <w:color w:val="000000"/>
              </w:rPr>
            </w:pPr>
            <w:r>
              <w:rPr>
                <w:rFonts w:ascii="Calibri" w:hAnsi="Calibri"/>
                <w:color w:val="000000"/>
              </w:rPr>
              <w:t>-1.121</w:t>
            </w:r>
          </w:p>
        </w:tc>
        <w:tc>
          <w:tcPr>
            <w:tcW w:w="236" w:type="dxa"/>
            <w:vAlign w:val="center"/>
          </w:tcPr>
          <w:p w:rsidR="006B67F6" w:rsidRDefault="006B67F6">
            <w:pPr>
              <w:rPr>
                <w:rFonts w:ascii="Calibri" w:hAnsi="Calibri"/>
                <w:color w:val="000000"/>
              </w:rPr>
            </w:pPr>
          </w:p>
        </w:tc>
        <w:tc>
          <w:tcPr>
            <w:tcW w:w="1361" w:type="dxa"/>
            <w:vAlign w:val="center"/>
          </w:tcPr>
          <w:p w:rsidR="006B67F6" w:rsidRDefault="006B67F6">
            <w:pPr>
              <w:rPr>
                <w:rFonts w:ascii="Calibri" w:hAnsi="Calibri"/>
                <w:color w:val="000000"/>
              </w:rPr>
            </w:pPr>
            <w:r>
              <w:rPr>
                <w:rFonts w:ascii="Calibri" w:hAnsi="Calibri"/>
                <w:color w:val="000000"/>
              </w:rPr>
              <w:t>0.418</w:t>
            </w:r>
          </w:p>
        </w:tc>
        <w:tc>
          <w:tcPr>
            <w:tcW w:w="236" w:type="dxa"/>
            <w:vAlign w:val="center"/>
          </w:tcPr>
          <w:p w:rsidR="006B67F6" w:rsidRDefault="006B67F6">
            <w:pPr>
              <w:rPr>
                <w:rFonts w:ascii="Calibri" w:hAnsi="Calibri"/>
                <w:color w:val="000000"/>
              </w:rPr>
            </w:pPr>
          </w:p>
        </w:tc>
        <w:tc>
          <w:tcPr>
            <w:tcW w:w="1361" w:type="dxa"/>
            <w:vAlign w:val="center"/>
          </w:tcPr>
          <w:p w:rsidR="006B67F6" w:rsidRDefault="006B67F6">
            <w:pPr>
              <w:rPr>
                <w:rFonts w:ascii="Calibri" w:hAnsi="Calibri"/>
                <w:color w:val="000000"/>
              </w:rPr>
            </w:pPr>
            <w:r>
              <w:rPr>
                <w:rFonts w:ascii="Calibri" w:hAnsi="Calibri"/>
                <w:color w:val="000000"/>
              </w:rPr>
              <w:t>0.616</w:t>
            </w:r>
          </w:p>
        </w:tc>
        <w:tc>
          <w:tcPr>
            <w:tcW w:w="236" w:type="dxa"/>
            <w:vAlign w:val="center"/>
          </w:tcPr>
          <w:p w:rsidR="006B67F6" w:rsidRDefault="006B67F6">
            <w:pPr>
              <w:rPr>
                <w:rFonts w:ascii="Calibri" w:hAnsi="Calibri"/>
                <w:color w:val="000000"/>
              </w:rPr>
            </w:pPr>
          </w:p>
        </w:tc>
        <w:tc>
          <w:tcPr>
            <w:tcW w:w="1361" w:type="dxa"/>
            <w:vAlign w:val="center"/>
          </w:tcPr>
          <w:p w:rsidR="006B67F6" w:rsidRDefault="006B67F6">
            <w:pPr>
              <w:rPr>
                <w:rFonts w:ascii="Calibri" w:hAnsi="Calibri"/>
                <w:b/>
                <w:bCs/>
                <w:color w:val="FF0000"/>
              </w:rPr>
            </w:pPr>
            <w:r>
              <w:rPr>
                <w:rFonts w:ascii="Calibri" w:hAnsi="Calibri"/>
                <w:b/>
                <w:bCs/>
                <w:color w:val="FF0000"/>
              </w:rPr>
              <w:t>-1.372 ***</w:t>
            </w:r>
          </w:p>
        </w:tc>
      </w:tr>
      <w:tr w:rsidR="006B67F6" w:rsidRPr="00724F7E" w:rsidTr="00326B4F">
        <w:trPr>
          <w:trHeight w:val="254"/>
          <w:jc w:val="center"/>
        </w:trPr>
        <w:tc>
          <w:tcPr>
            <w:tcW w:w="1247" w:type="dxa"/>
            <w:vMerge/>
            <w:vAlign w:val="center"/>
          </w:tcPr>
          <w:p w:rsidR="006B67F6" w:rsidRDefault="006B67F6" w:rsidP="00CB3BD3">
            <w:pPr>
              <w:rPr>
                <w:rFonts w:ascii="Calibri" w:hAnsi="Calibri"/>
                <w:color w:val="000000"/>
                <w:sz w:val="20"/>
                <w:szCs w:val="20"/>
              </w:rPr>
            </w:pPr>
          </w:p>
        </w:tc>
        <w:tc>
          <w:tcPr>
            <w:tcW w:w="236" w:type="dxa"/>
          </w:tcPr>
          <w:p w:rsidR="006B67F6" w:rsidRPr="00724F7E" w:rsidRDefault="006B67F6" w:rsidP="00CB3BD3">
            <w:pPr>
              <w:jc w:val="center"/>
              <w:rPr>
                <w:sz w:val="20"/>
                <w:szCs w:val="20"/>
              </w:rPr>
            </w:pPr>
          </w:p>
        </w:tc>
        <w:tc>
          <w:tcPr>
            <w:tcW w:w="1361" w:type="dxa"/>
            <w:vAlign w:val="center"/>
          </w:tcPr>
          <w:p w:rsidR="006B67F6" w:rsidRDefault="006B67F6">
            <w:pPr>
              <w:jc w:val="right"/>
              <w:rPr>
                <w:rFonts w:ascii="Calibri" w:hAnsi="Calibri"/>
                <w:color w:val="000000"/>
                <w:sz w:val="18"/>
                <w:szCs w:val="18"/>
              </w:rPr>
            </w:pPr>
            <w:r>
              <w:rPr>
                <w:rFonts w:ascii="Calibri" w:hAnsi="Calibri"/>
                <w:color w:val="000000"/>
                <w:sz w:val="18"/>
                <w:szCs w:val="18"/>
              </w:rPr>
              <w:t>0.02%</w:t>
            </w:r>
          </w:p>
        </w:tc>
        <w:tc>
          <w:tcPr>
            <w:tcW w:w="236" w:type="dxa"/>
            <w:vAlign w:val="center"/>
          </w:tcPr>
          <w:p w:rsidR="006B67F6" w:rsidRDefault="006B67F6">
            <w:pPr>
              <w:jc w:val="right"/>
              <w:rPr>
                <w:rFonts w:ascii="Calibri" w:hAnsi="Calibri"/>
                <w:color w:val="000000"/>
                <w:sz w:val="18"/>
                <w:szCs w:val="18"/>
              </w:rPr>
            </w:pPr>
          </w:p>
        </w:tc>
        <w:tc>
          <w:tcPr>
            <w:tcW w:w="1361" w:type="dxa"/>
            <w:vAlign w:val="center"/>
          </w:tcPr>
          <w:p w:rsidR="006B67F6" w:rsidRDefault="006B67F6">
            <w:pPr>
              <w:jc w:val="right"/>
              <w:rPr>
                <w:rFonts w:ascii="Calibri" w:hAnsi="Calibri"/>
                <w:color w:val="000000"/>
                <w:sz w:val="18"/>
                <w:szCs w:val="18"/>
              </w:rPr>
            </w:pPr>
            <w:r>
              <w:rPr>
                <w:rFonts w:ascii="Calibri" w:hAnsi="Calibri"/>
                <w:color w:val="000000"/>
                <w:sz w:val="18"/>
                <w:szCs w:val="18"/>
              </w:rPr>
              <w:t>0.22%</w:t>
            </w:r>
          </w:p>
        </w:tc>
        <w:tc>
          <w:tcPr>
            <w:tcW w:w="236" w:type="dxa"/>
            <w:vAlign w:val="center"/>
          </w:tcPr>
          <w:p w:rsidR="006B67F6" w:rsidRDefault="006B67F6">
            <w:pPr>
              <w:jc w:val="right"/>
              <w:rPr>
                <w:rFonts w:ascii="Calibri" w:hAnsi="Calibri"/>
                <w:color w:val="000000"/>
                <w:sz w:val="18"/>
                <w:szCs w:val="18"/>
              </w:rPr>
            </w:pPr>
          </w:p>
        </w:tc>
        <w:tc>
          <w:tcPr>
            <w:tcW w:w="1361" w:type="dxa"/>
            <w:vAlign w:val="center"/>
          </w:tcPr>
          <w:p w:rsidR="006B67F6" w:rsidRDefault="006B67F6">
            <w:pPr>
              <w:jc w:val="right"/>
              <w:rPr>
                <w:rFonts w:ascii="Calibri" w:hAnsi="Calibri"/>
                <w:color w:val="000000"/>
                <w:sz w:val="18"/>
                <w:szCs w:val="18"/>
              </w:rPr>
            </w:pPr>
            <w:r>
              <w:rPr>
                <w:rFonts w:ascii="Calibri" w:hAnsi="Calibri"/>
                <w:color w:val="000000"/>
                <w:sz w:val="18"/>
                <w:szCs w:val="18"/>
              </w:rPr>
              <w:t>0.61%</w:t>
            </w:r>
          </w:p>
        </w:tc>
        <w:tc>
          <w:tcPr>
            <w:tcW w:w="236" w:type="dxa"/>
            <w:vAlign w:val="center"/>
          </w:tcPr>
          <w:p w:rsidR="006B67F6" w:rsidRDefault="006B67F6">
            <w:pPr>
              <w:jc w:val="right"/>
              <w:rPr>
                <w:rFonts w:ascii="Calibri" w:hAnsi="Calibri"/>
                <w:color w:val="000000"/>
                <w:sz w:val="18"/>
                <w:szCs w:val="18"/>
              </w:rPr>
            </w:pPr>
          </w:p>
        </w:tc>
        <w:tc>
          <w:tcPr>
            <w:tcW w:w="1361" w:type="dxa"/>
            <w:vAlign w:val="center"/>
          </w:tcPr>
          <w:p w:rsidR="006B67F6" w:rsidRDefault="006B67F6">
            <w:pPr>
              <w:jc w:val="right"/>
              <w:rPr>
                <w:rFonts w:ascii="Calibri" w:hAnsi="Calibri"/>
                <w:color w:val="000000"/>
                <w:sz w:val="18"/>
                <w:szCs w:val="18"/>
              </w:rPr>
            </w:pPr>
            <w:r>
              <w:rPr>
                <w:rFonts w:ascii="Calibri" w:hAnsi="Calibri"/>
                <w:color w:val="000000"/>
                <w:sz w:val="18"/>
                <w:szCs w:val="18"/>
              </w:rPr>
              <w:t>1.61%</w:t>
            </w:r>
          </w:p>
        </w:tc>
      </w:tr>
      <w:tr w:rsidR="006B67F6" w:rsidRPr="00724F7E" w:rsidTr="00326B4F">
        <w:trPr>
          <w:trHeight w:val="254"/>
          <w:jc w:val="center"/>
        </w:trPr>
        <w:tc>
          <w:tcPr>
            <w:tcW w:w="1247" w:type="dxa"/>
            <w:vMerge w:val="restart"/>
            <w:vAlign w:val="center"/>
          </w:tcPr>
          <w:p w:rsidR="006B67F6" w:rsidRDefault="006B67F6" w:rsidP="00CB3BD3">
            <w:pPr>
              <w:rPr>
                <w:rFonts w:ascii="Calibri" w:hAnsi="Calibri"/>
                <w:color w:val="000000"/>
                <w:sz w:val="20"/>
                <w:szCs w:val="20"/>
              </w:rPr>
            </w:pPr>
            <w:r>
              <w:rPr>
                <w:rFonts w:ascii="Calibri" w:hAnsi="Calibri"/>
                <w:color w:val="000000"/>
                <w:sz w:val="20"/>
                <w:szCs w:val="20"/>
              </w:rPr>
              <w:t>Belgium</w:t>
            </w:r>
          </w:p>
        </w:tc>
        <w:tc>
          <w:tcPr>
            <w:tcW w:w="236" w:type="dxa"/>
          </w:tcPr>
          <w:p w:rsidR="006B67F6" w:rsidRPr="00724F7E" w:rsidRDefault="006B67F6" w:rsidP="00CB3BD3">
            <w:pPr>
              <w:jc w:val="center"/>
              <w:rPr>
                <w:sz w:val="20"/>
                <w:szCs w:val="20"/>
              </w:rPr>
            </w:pPr>
          </w:p>
        </w:tc>
        <w:tc>
          <w:tcPr>
            <w:tcW w:w="1361" w:type="dxa"/>
            <w:vAlign w:val="center"/>
          </w:tcPr>
          <w:p w:rsidR="006B67F6" w:rsidRDefault="006B67F6">
            <w:pPr>
              <w:rPr>
                <w:rFonts w:ascii="Calibri" w:hAnsi="Calibri"/>
                <w:color w:val="000000"/>
              </w:rPr>
            </w:pPr>
            <w:r>
              <w:rPr>
                <w:rFonts w:ascii="Calibri" w:hAnsi="Calibri"/>
                <w:color w:val="000000"/>
              </w:rPr>
              <w:t>-1.480</w:t>
            </w:r>
          </w:p>
        </w:tc>
        <w:tc>
          <w:tcPr>
            <w:tcW w:w="236" w:type="dxa"/>
            <w:vAlign w:val="center"/>
          </w:tcPr>
          <w:p w:rsidR="006B67F6" w:rsidRDefault="006B67F6">
            <w:pPr>
              <w:rPr>
                <w:rFonts w:ascii="Calibri" w:hAnsi="Calibri"/>
                <w:color w:val="000000"/>
              </w:rPr>
            </w:pPr>
          </w:p>
        </w:tc>
        <w:tc>
          <w:tcPr>
            <w:tcW w:w="1361" w:type="dxa"/>
            <w:vAlign w:val="center"/>
          </w:tcPr>
          <w:p w:rsidR="006B67F6" w:rsidRDefault="006B67F6">
            <w:pPr>
              <w:rPr>
                <w:rFonts w:ascii="Calibri" w:hAnsi="Calibri"/>
                <w:color w:val="000000"/>
              </w:rPr>
            </w:pPr>
            <w:r>
              <w:rPr>
                <w:rFonts w:ascii="Calibri" w:hAnsi="Calibri"/>
                <w:color w:val="000000"/>
              </w:rPr>
              <w:t>0.800</w:t>
            </w:r>
          </w:p>
        </w:tc>
        <w:tc>
          <w:tcPr>
            <w:tcW w:w="236" w:type="dxa"/>
            <w:vAlign w:val="center"/>
          </w:tcPr>
          <w:p w:rsidR="006B67F6" w:rsidRDefault="006B67F6">
            <w:pPr>
              <w:rPr>
                <w:rFonts w:ascii="Calibri" w:hAnsi="Calibri"/>
                <w:color w:val="000000"/>
              </w:rPr>
            </w:pPr>
          </w:p>
        </w:tc>
        <w:tc>
          <w:tcPr>
            <w:tcW w:w="1361" w:type="dxa"/>
            <w:vAlign w:val="center"/>
          </w:tcPr>
          <w:p w:rsidR="006B67F6" w:rsidRDefault="006B67F6">
            <w:pPr>
              <w:rPr>
                <w:rFonts w:ascii="Calibri" w:hAnsi="Calibri"/>
                <w:b/>
                <w:bCs/>
                <w:color w:val="FF0000"/>
              </w:rPr>
            </w:pPr>
            <w:r>
              <w:rPr>
                <w:rFonts w:ascii="Calibri" w:hAnsi="Calibri"/>
                <w:b/>
                <w:bCs/>
                <w:color w:val="FF0000"/>
              </w:rPr>
              <w:t>-1.551 ***</w:t>
            </w:r>
          </w:p>
        </w:tc>
        <w:tc>
          <w:tcPr>
            <w:tcW w:w="236" w:type="dxa"/>
            <w:vAlign w:val="center"/>
          </w:tcPr>
          <w:p w:rsidR="006B67F6" w:rsidRDefault="006B67F6">
            <w:pPr>
              <w:rPr>
                <w:rFonts w:ascii="Calibri" w:hAnsi="Calibri"/>
                <w:color w:val="000000"/>
              </w:rPr>
            </w:pPr>
          </w:p>
        </w:tc>
        <w:tc>
          <w:tcPr>
            <w:tcW w:w="1361" w:type="dxa"/>
            <w:vAlign w:val="center"/>
          </w:tcPr>
          <w:p w:rsidR="006B67F6" w:rsidRDefault="006B67F6">
            <w:pPr>
              <w:rPr>
                <w:rFonts w:ascii="Calibri" w:hAnsi="Calibri"/>
                <w:b/>
                <w:bCs/>
                <w:color w:val="FF0000"/>
              </w:rPr>
            </w:pPr>
            <w:r>
              <w:rPr>
                <w:rFonts w:ascii="Calibri" w:hAnsi="Calibri"/>
                <w:b/>
                <w:bCs/>
                <w:color w:val="FF0000"/>
              </w:rPr>
              <w:t>-1.947 ***</w:t>
            </w:r>
          </w:p>
        </w:tc>
      </w:tr>
      <w:tr w:rsidR="006B67F6" w:rsidRPr="00724F7E" w:rsidTr="00326B4F">
        <w:trPr>
          <w:trHeight w:val="254"/>
          <w:jc w:val="center"/>
        </w:trPr>
        <w:tc>
          <w:tcPr>
            <w:tcW w:w="1247" w:type="dxa"/>
            <w:vMerge/>
            <w:vAlign w:val="center"/>
          </w:tcPr>
          <w:p w:rsidR="006B67F6" w:rsidRDefault="006B67F6" w:rsidP="00CB3BD3">
            <w:pPr>
              <w:rPr>
                <w:rFonts w:ascii="Calibri" w:hAnsi="Calibri"/>
                <w:color w:val="000000"/>
                <w:sz w:val="20"/>
                <w:szCs w:val="20"/>
              </w:rPr>
            </w:pPr>
          </w:p>
        </w:tc>
        <w:tc>
          <w:tcPr>
            <w:tcW w:w="236" w:type="dxa"/>
          </w:tcPr>
          <w:p w:rsidR="006B67F6" w:rsidRPr="00724F7E" w:rsidRDefault="006B67F6" w:rsidP="00CB3BD3">
            <w:pPr>
              <w:jc w:val="center"/>
              <w:rPr>
                <w:sz w:val="20"/>
                <w:szCs w:val="20"/>
              </w:rPr>
            </w:pPr>
          </w:p>
        </w:tc>
        <w:tc>
          <w:tcPr>
            <w:tcW w:w="1361" w:type="dxa"/>
            <w:vAlign w:val="center"/>
          </w:tcPr>
          <w:p w:rsidR="006B67F6" w:rsidRDefault="006B67F6">
            <w:pPr>
              <w:jc w:val="right"/>
              <w:rPr>
                <w:rFonts w:ascii="Calibri" w:hAnsi="Calibri"/>
                <w:color w:val="000000"/>
                <w:sz w:val="18"/>
                <w:szCs w:val="18"/>
              </w:rPr>
            </w:pPr>
            <w:r>
              <w:rPr>
                <w:rFonts w:ascii="Calibri" w:hAnsi="Calibri"/>
                <w:color w:val="000000"/>
                <w:sz w:val="18"/>
                <w:szCs w:val="18"/>
              </w:rPr>
              <w:t>0.08%</w:t>
            </w:r>
          </w:p>
        </w:tc>
        <w:tc>
          <w:tcPr>
            <w:tcW w:w="236" w:type="dxa"/>
            <w:vAlign w:val="center"/>
          </w:tcPr>
          <w:p w:rsidR="006B67F6" w:rsidRDefault="006B67F6">
            <w:pPr>
              <w:jc w:val="right"/>
              <w:rPr>
                <w:rFonts w:ascii="Calibri" w:hAnsi="Calibri"/>
                <w:color w:val="000000"/>
                <w:sz w:val="18"/>
                <w:szCs w:val="18"/>
              </w:rPr>
            </w:pPr>
          </w:p>
        </w:tc>
        <w:tc>
          <w:tcPr>
            <w:tcW w:w="1361" w:type="dxa"/>
            <w:vAlign w:val="center"/>
          </w:tcPr>
          <w:p w:rsidR="006B67F6" w:rsidRDefault="006B67F6">
            <w:pPr>
              <w:jc w:val="right"/>
              <w:rPr>
                <w:rFonts w:ascii="Calibri" w:hAnsi="Calibri"/>
                <w:color w:val="000000"/>
                <w:sz w:val="18"/>
                <w:szCs w:val="18"/>
              </w:rPr>
            </w:pPr>
            <w:r>
              <w:rPr>
                <w:rFonts w:ascii="Calibri" w:hAnsi="Calibri"/>
                <w:color w:val="000000"/>
                <w:sz w:val="18"/>
                <w:szCs w:val="18"/>
              </w:rPr>
              <w:t>0.36%</w:t>
            </w:r>
          </w:p>
        </w:tc>
        <w:tc>
          <w:tcPr>
            <w:tcW w:w="236" w:type="dxa"/>
            <w:vAlign w:val="center"/>
          </w:tcPr>
          <w:p w:rsidR="006B67F6" w:rsidRDefault="006B67F6">
            <w:pPr>
              <w:jc w:val="right"/>
              <w:rPr>
                <w:rFonts w:ascii="Calibri" w:hAnsi="Calibri"/>
                <w:color w:val="000000"/>
                <w:sz w:val="18"/>
                <w:szCs w:val="18"/>
              </w:rPr>
            </w:pPr>
          </w:p>
        </w:tc>
        <w:tc>
          <w:tcPr>
            <w:tcW w:w="1361" w:type="dxa"/>
            <w:vAlign w:val="center"/>
          </w:tcPr>
          <w:p w:rsidR="006B67F6" w:rsidRDefault="006B67F6">
            <w:pPr>
              <w:jc w:val="right"/>
              <w:rPr>
                <w:rFonts w:ascii="Calibri" w:hAnsi="Calibri"/>
                <w:color w:val="000000"/>
                <w:sz w:val="18"/>
                <w:szCs w:val="18"/>
              </w:rPr>
            </w:pPr>
            <w:r>
              <w:rPr>
                <w:rFonts w:ascii="Calibri" w:hAnsi="Calibri"/>
                <w:color w:val="000000"/>
                <w:sz w:val="18"/>
                <w:szCs w:val="18"/>
              </w:rPr>
              <w:t>9.19%</w:t>
            </w:r>
          </w:p>
        </w:tc>
        <w:tc>
          <w:tcPr>
            <w:tcW w:w="236" w:type="dxa"/>
            <w:vAlign w:val="center"/>
          </w:tcPr>
          <w:p w:rsidR="006B67F6" w:rsidRDefault="006B67F6">
            <w:pPr>
              <w:jc w:val="right"/>
              <w:rPr>
                <w:rFonts w:ascii="Calibri" w:hAnsi="Calibri"/>
                <w:color w:val="000000"/>
                <w:sz w:val="18"/>
                <w:szCs w:val="18"/>
              </w:rPr>
            </w:pPr>
          </w:p>
        </w:tc>
        <w:tc>
          <w:tcPr>
            <w:tcW w:w="1361" w:type="dxa"/>
            <w:vAlign w:val="center"/>
          </w:tcPr>
          <w:p w:rsidR="006B67F6" w:rsidRDefault="006B67F6">
            <w:pPr>
              <w:jc w:val="right"/>
              <w:rPr>
                <w:rFonts w:ascii="Calibri" w:hAnsi="Calibri"/>
                <w:color w:val="000000"/>
                <w:sz w:val="18"/>
                <w:szCs w:val="18"/>
              </w:rPr>
            </w:pPr>
            <w:r>
              <w:rPr>
                <w:rFonts w:ascii="Calibri" w:hAnsi="Calibri"/>
                <w:color w:val="000000"/>
                <w:sz w:val="18"/>
                <w:szCs w:val="18"/>
              </w:rPr>
              <w:t>7.96%</w:t>
            </w:r>
          </w:p>
        </w:tc>
      </w:tr>
      <w:tr w:rsidR="006B67F6" w:rsidRPr="00724F7E" w:rsidTr="00326B4F">
        <w:trPr>
          <w:trHeight w:val="254"/>
          <w:jc w:val="center"/>
        </w:trPr>
        <w:tc>
          <w:tcPr>
            <w:tcW w:w="1247" w:type="dxa"/>
            <w:vMerge w:val="restart"/>
            <w:vAlign w:val="center"/>
          </w:tcPr>
          <w:p w:rsidR="006B67F6" w:rsidRDefault="006B67F6" w:rsidP="00CB3BD3">
            <w:pPr>
              <w:rPr>
                <w:rFonts w:ascii="Calibri" w:hAnsi="Calibri"/>
                <w:color w:val="000000"/>
                <w:sz w:val="20"/>
                <w:szCs w:val="20"/>
              </w:rPr>
            </w:pPr>
            <w:r>
              <w:rPr>
                <w:rFonts w:ascii="Calibri" w:hAnsi="Calibri"/>
                <w:color w:val="000000"/>
                <w:sz w:val="20"/>
                <w:szCs w:val="20"/>
              </w:rPr>
              <w:t>Italy</w:t>
            </w:r>
          </w:p>
        </w:tc>
        <w:tc>
          <w:tcPr>
            <w:tcW w:w="236" w:type="dxa"/>
          </w:tcPr>
          <w:p w:rsidR="006B67F6" w:rsidRPr="00724F7E" w:rsidRDefault="006B67F6" w:rsidP="00CB3BD3">
            <w:pPr>
              <w:jc w:val="center"/>
              <w:rPr>
                <w:sz w:val="20"/>
                <w:szCs w:val="20"/>
              </w:rPr>
            </w:pPr>
          </w:p>
        </w:tc>
        <w:tc>
          <w:tcPr>
            <w:tcW w:w="1361" w:type="dxa"/>
            <w:vAlign w:val="center"/>
          </w:tcPr>
          <w:p w:rsidR="006B67F6" w:rsidRDefault="006B67F6">
            <w:pPr>
              <w:rPr>
                <w:rFonts w:ascii="Calibri" w:hAnsi="Calibri"/>
                <w:color w:val="000000"/>
              </w:rPr>
            </w:pPr>
            <w:r>
              <w:rPr>
                <w:rFonts w:ascii="Calibri" w:hAnsi="Calibri"/>
                <w:color w:val="000000"/>
              </w:rPr>
              <w:t>-0.561</w:t>
            </w:r>
          </w:p>
        </w:tc>
        <w:tc>
          <w:tcPr>
            <w:tcW w:w="236" w:type="dxa"/>
            <w:vAlign w:val="center"/>
          </w:tcPr>
          <w:p w:rsidR="006B67F6" w:rsidRDefault="006B67F6">
            <w:pPr>
              <w:rPr>
                <w:rFonts w:ascii="Calibri" w:hAnsi="Calibri"/>
                <w:color w:val="000000"/>
              </w:rPr>
            </w:pPr>
          </w:p>
        </w:tc>
        <w:tc>
          <w:tcPr>
            <w:tcW w:w="1361" w:type="dxa"/>
            <w:vAlign w:val="center"/>
          </w:tcPr>
          <w:p w:rsidR="006B67F6" w:rsidRDefault="006B67F6">
            <w:pPr>
              <w:rPr>
                <w:rFonts w:ascii="Calibri" w:hAnsi="Calibri"/>
                <w:color w:val="000000"/>
              </w:rPr>
            </w:pPr>
            <w:r>
              <w:rPr>
                <w:rFonts w:ascii="Calibri" w:hAnsi="Calibri"/>
                <w:color w:val="000000"/>
              </w:rPr>
              <w:t>-0.198</w:t>
            </w:r>
          </w:p>
        </w:tc>
        <w:tc>
          <w:tcPr>
            <w:tcW w:w="236" w:type="dxa"/>
            <w:vAlign w:val="center"/>
          </w:tcPr>
          <w:p w:rsidR="006B67F6" w:rsidRDefault="006B67F6">
            <w:pPr>
              <w:rPr>
                <w:rFonts w:ascii="Calibri" w:hAnsi="Calibri"/>
                <w:color w:val="000000"/>
              </w:rPr>
            </w:pPr>
          </w:p>
        </w:tc>
        <w:tc>
          <w:tcPr>
            <w:tcW w:w="1361" w:type="dxa"/>
            <w:vAlign w:val="center"/>
          </w:tcPr>
          <w:p w:rsidR="006B67F6" w:rsidRDefault="006B67F6">
            <w:pPr>
              <w:rPr>
                <w:rFonts w:ascii="Calibri" w:hAnsi="Calibri"/>
                <w:b/>
                <w:bCs/>
                <w:color w:val="FF0000"/>
              </w:rPr>
            </w:pPr>
            <w:r>
              <w:rPr>
                <w:rFonts w:ascii="Calibri" w:hAnsi="Calibri"/>
                <w:b/>
                <w:bCs/>
                <w:color w:val="FF0000"/>
              </w:rPr>
              <w:t>-2.004 ***</w:t>
            </w:r>
          </w:p>
        </w:tc>
        <w:tc>
          <w:tcPr>
            <w:tcW w:w="236" w:type="dxa"/>
            <w:vAlign w:val="center"/>
          </w:tcPr>
          <w:p w:rsidR="006B67F6" w:rsidRDefault="006B67F6">
            <w:pPr>
              <w:rPr>
                <w:rFonts w:ascii="Calibri" w:hAnsi="Calibri"/>
                <w:color w:val="000000"/>
              </w:rPr>
            </w:pPr>
          </w:p>
        </w:tc>
        <w:tc>
          <w:tcPr>
            <w:tcW w:w="1361" w:type="dxa"/>
            <w:vAlign w:val="center"/>
          </w:tcPr>
          <w:p w:rsidR="006B67F6" w:rsidRDefault="006B67F6">
            <w:pPr>
              <w:rPr>
                <w:rFonts w:ascii="Calibri" w:hAnsi="Calibri"/>
                <w:b/>
                <w:bCs/>
                <w:color w:val="FF0000"/>
              </w:rPr>
            </w:pPr>
            <w:r>
              <w:rPr>
                <w:rFonts w:ascii="Calibri" w:hAnsi="Calibri"/>
                <w:b/>
                <w:bCs/>
                <w:color w:val="FF0000"/>
              </w:rPr>
              <w:t>-2.937 ***</w:t>
            </w:r>
          </w:p>
        </w:tc>
      </w:tr>
      <w:tr w:rsidR="006B67F6" w:rsidRPr="00724F7E" w:rsidTr="00326B4F">
        <w:trPr>
          <w:trHeight w:val="254"/>
          <w:jc w:val="center"/>
        </w:trPr>
        <w:tc>
          <w:tcPr>
            <w:tcW w:w="1247" w:type="dxa"/>
            <w:vMerge/>
            <w:vAlign w:val="center"/>
          </w:tcPr>
          <w:p w:rsidR="006B67F6" w:rsidRDefault="006B67F6" w:rsidP="00CB3BD3">
            <w:pPr>
              <w:rPr>
                <w:rFonts w:ascii="Calibri" w:hAnsi="Calibri"/>
                <w:color w:val="000000"/>
                <w:sz w:val="20"/>
                <w:szCs w:val="20"/>
              </w:rPr>
            </w:pPr>
          </w:p>
        </w:tc>
        <w:tc>
          <w:tcPr>
            <w:tcW w:w="236" w:type="dxa"/>
          </w:tcPr>
          <w:p w:rsidR="006B67F6" w:rsidRPr="00724F7E" w:rsidRDefault="006B67F6" w:rsidP="00CB3BD3">
            <w:pPr>
              <w:jc w:val="center"/>
              <w:rPr>
                <w:sz w:val="20"/>
                <w:szCs w:val="20"/>
              </w:rPr>
            </w:pPr>
          </w:p>
        </w:tc>
        <w:tc>
          <w:tcPr>
            <w:tcW w:w="1361" w:type="dxa"/>
            <w:vAlign w:val="center"/>
          </w:tcPr>
          <w:p w:rsidR="006B67F6" w:rsidRDefault="006B67F6">
            <w:pPr>
              <w:jc w:val="right"/>
              <w:rPr>
                <w:rFonts w:ascii="Calibri" w:hAnsi="Calibri"/>
                <w:color w:val="000000"/>
                <w:sz w:val="18"/>
                <w:szCs w:val="18"/>
              </w:rPr>
            </w:pPr>
            <w:r>
              <w:rPr>
                <w:rFonts w:ascii="Calibri" w:hAnsi="Calibri"/>
                <w:color w:val="000000"/>
                <w:sz w:val="18"/>
                <w:szCs w:val="18"/>
              </w:rPr>
              <w:t>0.06%</w:t>
            </w:r>
          </w:p>
        </w:tc>
        <w:tc>
          <w:tcPr>
            <w:tcW w:w="236" w:type="dxa"/>
            <w:vAlign w:val="center"/>
          </w:tcPr>
          <w:p w:rsidR="006B67F6" w:rsidRDefault="006B67F6">
            <w:pPr>
              <w:jc w:val="right"/>
              <w:rPr>
                <w:rFonts w:ascii="Calibri" w:hAnsi="Calibri"/>
                <w:color w:val="000000"/>
                <w:sz w:val="18"/>
                <w:szCs w:val="18"/>
              </w:rPr>
            </w:pPr>
          </w:p>
        </w:tc>
        <w:tc>
          <w:tcPr>
            <w:tcW w:w="1361" w:type="dxa"/>
            <w:vAlign w:val="center"/>
          </w:tcPr>
          <w:p w:rsidR="006B67F6" w:rsidRDefault="006B67F6">
            <w:pPr>
              <w:jc w:val="right"/>
              <w:rPr>
                <w:rFonts w:ascii="Calibri" w:hAnsi="Calibri"/>
                <w:color w:val="000000"/>
                <w:sz w:val="18"/>
                <w:szCs w:val="18"/>
              </w:rPr>
            </w:pPr>
            <w:r>
              <w:rPr>
                <w:rFonts w:ascii="Calibri" w:hAnsi="Calibri"/>
                <w:color w:val="000000"/>
                <w:sz w:val="18"/>
                <w:szCs w:val="18"/>
              </w:rPr>
              <w:t>0.05%</w:t>
            </w:r>
          </w:p>
        </w:tc>
        <w:tc>
          <w:tcPr>
            <w:tcW w:w="236" w:type="dxa"/>
            <w:vAlign w:val="center"/>
          </w:tcPr>
          <w:p w:rsidR="006B67F6" w:rsidRDefault="006B67F6">
            <w:pPr>
              <w:jc w:val="right"/>
              <w:rPr>
                <w:rFonts w:ascii="Calibri" w:hAnsi="Calibri"/>
                <w:color w:val="000000"/>
                <w:sz w:val="18"/>
                <w:szCs w:val="18"/>
              </w:rPr>
            </w:pPr>
          </w:p>
        </w:tc>
        <w:tc>
          <w:tcPr>
            <w:tcW w:w="1361" w:type="dxa"/>
            <w:vAlign w:val="center"/>
          </w:tcPr>
          <w:p w:rsidR="006B67F6" w:rsidRDefault="006B67F6">
            <w:pPr>
              <w:jc w:val="right"/>
              <w:rPr>
                <w:rFonts w:ascii="Calibri" w:hAnsi="Calibri"/>
                <w:color w:val="000000"/>
                <w:sz w:val="18"/>
                <w:szCs w:val="18"/>
              </w:rPr>
            </w:pPr>
            <w:r>
              <w:rPr>
                <w:rFonts w:ascii="Calibri" w:hAnsi="Calibri"/>
                <w:color w:val="000000"/>
                <w:sz w:val="18"/>
                <w:szCs w:val="18"/>
              </w:rPr>
              <w:t>32.01%</w:t>
            </w:r>
          </w:p>
        </w:tc>
        <w:tc>
          <w:tcPr>
            <w:tcW w:w="236" w:type="dxa"/>
            <w:vAlign w:val="center"/>
          </w:tcPr>
          <w:p w:rsidR="006B67F6" w:rsidRDefault="006B67F6">
            <w:pPr>
              <w:jc w:val="right"/>
              <w:rPr>
                <w:rFonts w:ascii="Calibri" w:hAnsi="Calibri"/>
                <w:color w:val="000000"/>
                <w:sz w:val="18"/>
                <w:szCs w:val="18"/>
              </w:rPr>
            </w:pPr>
          </w:p>
        </w:tc>
        <w:tc>
          <w:tcPr>
            <w:tcW w:w="1361" w:type="dxa"/>
            <w:vAlign w:val="center"/>
          </w:tcPr>
          <w:p w:rsidR="006B67F6" w:rsidRDefault="006B67F6">
            <w:pPr>
              <w:jc w:val="right"/>
              <w:rPr>
                <w:rFonts w:ascii="Calibri" w:hAnsi="Calibri"/>
                <w:color w:val="000000"/>
                <w:sz w:val="18"/>
                <w:szCs w:val="18"/>
              </w:rPr>
            </w:pPr>
            <w:r>
              <w:rPr>
                <w:rFonts w:ascii="Calibri" w:hAnsi="Calibri"/>
                <w:color w:val="000000"/>
                <w:sz w:val="18"/>
                <w:szCs w:val="18"/>
              </w:rPr>
              <w:t>42.69%</w:t>
            </w:r>
          </w:p>
        </w:tc>
      </w:tr>
      <w:tr w:rsidR="006B67F6" w:rsidRPr="00724F7E" w:rsidTr="00326B4F">
        <w:trPr>
          <w:trHeight w:val="254"/>
          <w:jc w:val="center"/>
        </w:trPr>
        <w:tc>
          <w:tcPr>
            <w:tcW w:w="1247" w:type="dxa"/>
            <w:vMerge w:val="restart"/>
            <w:vAlign w:val="center"/>
          </w:tcPr>
          <w:p w:rsidR="006B67F6" w:rsidRDefault="006B67F6" w:rsidP="00CB3BD3">
            <w:pPr>
              <w:rPr>
                <w:rFonts w:ascii="Calibri" w:hAnsi="Calibri"/>
                <w:color w:val="000000"/>
                <w:sz w:val="20"/>
                <w:szCs w:val="20"/>
              </w:rPr>
            </w:pPr>
            <w:r>
              <w:rPr>
                <w:rFonts w:ascii="Calibri" w:hAnsi="Calibri"/>
                <w:color w:val="000000"/>
                <w:sz w:val="20"/>
                <w:szCs w:val="20"/>
              </w:rPr>
              <w:t>Spain</w:t>
            </w:r>
          </w:p>
        </w:tc>
        <w:tc>
          <w:tcPr>
            <w:tcW w:w="236" w:type="dxa"/>
          </w:tcPr>
          <w:p w:rsidR="006B67F6" w:rsidRPr="00724F7E" w:rsidRDefault="006B67F6" w:rsidP="00CB3BD3">
            <w:pPr>
              <w:jc w:val="center"/>
              <w:rPr>
                <w:sz w:val="20"/>
                <w:szCs w:val="20"/>
              </w:rPr>
            </w:pPr>
          </w:p>
        </w:tc>
        <w:tc>
          <w:tcPr>
            <w:tcW w:w="1361" w:type="dxa"/>
            <w:vAlign w:val="center"/>
          </w:tcPr>
          <w:p w:rsidR="006B67F6" w:rsidRDefault="006B67F6">
            <w:pPr>
              <w:rPr>
                <w:rFonts w:ascii="Calibri" w:hAnsi="Calibri"/>
                <w:color w:val="000000"/>
              </w:rPr>
            </w:pPr>
            <w:r>
              <w:rPr>
                <w:rFonts w:ascii="Calibri" w:hAnsi="Calibri"/>
                <w:color w:val="000000"/>
              </w:rPr>
              <w:t>-0.194</w:t>
            </w:r>
          </w:p>
        </w:tc>
        <w:tc>
          <w:tcPr>
            <w:tcW w:w="236" w:type="dxa"/>
            <w:vAlign w:val="center"/>
          </w:tcPr>
          <w:p w:rsidR="006B67F6" w:rsidRDefault="006B67F6">
            <w:pPr>
              <w:rPr>
                <w:rFonts w:ascii="Calibri" w:hAnsi="Calibri"/>
                <w:color w:val="000000"/>
              </w:rPr>
            </w:pPr>
          </w:p>
        </w:tc>
        <w:tc>
          <w:tcPr>
            <w:tcW w:w="1361" w:type="dxa"/>
            <w:vAlign w:val="center"/>
          </w:tcPr>
          <w:p w:rsidR="006B67F6" w:rsidRDefault="006B67F6">
            <w:pPr>
              <w:rPr>
                <w:rFonts w:ascii="Calibri" w:hAnsi="Calibri"/>
                <w:color w:val="000000"/>
              </w:rPr>
            </w:pPr>
            <w:r>
              <w:rPr>
                <w:rFonts w:ascii="Calibri" w:hAnsi="Calibri"/>
                <w:color w:val="000000"/>
              </w:rPr>
              <w:t>0.472</w:t>
            </w:r>
          </w:p>
        </w:tc>
        <w:tc>
          <w:tcPr>
            <w:tcW w:w="236" w:type="dxa"/>
            <w:vAlign w:val="center"/>
          </w:tcPr>
          <w:p w:rsidR="006B67F6" w:rsidRDefault="006B67F6">
            <w:pPr>
              <w:rPr>
                <w:rFonts w:ascii="Calibri" w:hAnsi="Calibri"/>
                <w:color w:val="000000"/>
              </w:rPr>
            </w:pPr>
          </w:p>
        </w:tc>
        <w:tc>
          <w:tcPr>
            <w:tcW w:w="1361" w:type="dxa"/>
            <w:vAlign w:val="center"/>
          </w:tcPr>
          <w:p w:rsidR="006B67F6" w:rsidRDefault="006B67F6">
            <w:pPr>
              <w:rPr>
                <w:rFonts w:ascii="Calibri" w:hAnsi="Calibri"/>
                <w:b/>
                <w:bCs/>
                <w:color w:val="FF0000"/>
              </w:rPr>
            </w:pPr>
            <w:r>
              <w:rPr>
                <w:rFonts w:ascii="Calibri" w:hAnsi="Calibri"/>
                <w:b/>
                <w:bCs/>
                <w:color w:val="FF0000"/>
              </w:rPr>
              <w:t>-2.350 ***</w:t>
            </w:r>
          </w:p>
        </w:tc>
        <w:tc>
          <w:tcPr>
            <w:tcW w:w="236" w:type="dxa"/>
            <w:vAlign w:val="center"/>
          </w:tcPr>
          <w:p w:rsidR="006B67F6" w:rsidRDefault="006B67F6">
            <w:pPr>
              <w:rPr>
                <w:rFonts w:ascii="Calibri" w:hAnsi="Calibri"/>
                <w:color w:val="000000"/>
              </w:rPr>
            </w:pPr>
          </w:p>
        </w:tc>
        <w:tc>
          <w:tcPr>
            <w:tcW w:w="1361" w:type="dxa"/>
            <w:vAlign w:val="center"/>
          </w:tcPr>
          <w:p w:rsidR="006B67F6" w:rsidRDefault="006B67F6">
            <w:pPr>
              <w:rPr>
                <w:rFonts w:ascii="Calibri" w:hAnsi="Calibri"/>
                <w:b/>
                <w:bCs/>
                <w:color w:val="FF0000"/>
              </w:rPr>
            </w:pPr>
            <w:r>
              <w:rPr>
                <w:rFonts w:ascii="Calibri" w:hAnsi="Calibri"/>
                <w:b/>
                <w:bCs/>
                <w:color w:val="FF0000"/>
              </w:rPr>
              <w:t>-3.512 ***</w:t>
            </w:r>
          </w:p>
        </w:tc>
      </w:tr>
      <w:tr w:rsidR="006B67F6" w:rsidRPr="00724F7E" w:rsidTr="00326B4F">
        <w:trPr>
          <w:trHeight w:val="254"/>
          <w:jc w:val="center"/>
        </w:trPr>
        <w:tc>
          <w:tcPr>
            <w:tcW w:w="1247" w:type="dxa"/>
            <w:vMerge/>
            <w:vAlign w:val="center"/>
          </w:tcPr>
          <w:p w:rsidR="006B67F6" w:rsidRDefault="006B67F6" w:rsidP="00CB3BD3">
            <w:pPr>
              <w:rPr>
                <w:rFonts w:ascii="Calibri" w:hAnsi="Calibri"/>
                <w:color w:val="000000"/>
                <w:sz w:val="20"/>
                <w:szCs w:val="20"/>
              </w:rPr>
            </w:pPr>
          </w:p>
        </w:tc>
        <w:tc>
          <w:tcPr>
            <w:tcW w:w="236" w:type="dxa"/>
          </w:tcPr>
          <w:p w:rsidR="006B67F6" w:rsidRPr="00724F7E" w:rsidRDefault="006B67F6" w:rsidP="00CB3BD3">
            <w:pPr>
              <w:jc w:val="center"/>
              <w:rPr>
                <w:sz w:val="20"/>
                <w:szCs w:val="20"/>
              </w:rPr>
            </w:pPr>
          </w:p>
        </w:tc>
        <w:tc>
          <w:tcPr>
            <w:tcW w:w="1361" w:type="dxa"/>
            <w:vAlign w:val="center"/>
          </w:tcPr>
          <w:p w:rsidR="006B67F6" w:rsidRDefault="006B67F6">
            <w:pPr>
              <w:jc w:val="right"/>
              <w:rPr>
                <w:rFonts w:ascii="Calibri" w:hAnsi="Calibri"/>
                <w:color w:val="000000"/>
                <w:sz w:val="18"/>
                <w:szCs w:val="18"/>
              </w:rPr>
            </w:pPr>
            <w:r>
              <w:rPr>
                <w:rFonts w:ascii="Calibri" w:hAnsi="Calibri"/>
                <w:color w:val="000000"/>
                <w:sz w:val="18"/>
                <w:szCs w:val="18"/>
              </w:rPr>
              <w:t>-0.01%</w:t>
            </w:r>
          </w:p>
        </w:tc>
        <w:tc>
          <w:tcPr>
            <w:tcW w:w="236" w:type="dxa"/>
            <w:vAlign w:val="center"/>
          </w:tcPr>
          <w:p w:rsidR="006B67F6" w:rsidRDefault="006B67F6">
            <w:pPr>
              <w:jc w:val="right"/>
              <w:rPr>
                <w:rFonts w:ascii="Calibri" w:hAnsi="Calibri"/>
                <w:color w:val="000000"/>
                <w:sz w:val="18"/>
                <w:szCs w:val="18"/>
              </w:rPr>
            </w:pPr>
          </w:p>
        </w:tc>
        <w:tc>
          <w:tcPr>
            <w:tcW w:w="1361" w:type="dxa"/>
            <w:vAlign w:val="center"/>
          </w:tcPr>
          <w:p w:rsidR="006B67F6" w:rsidRDefault="006B67F6">
            <w:pPr>
              <w:jc w:val="right"/>
              <w:rPr>
                <w:rFonts w:ascii="Calibri" w:hAnsi="Calibri"/>
                <w:color w:val="000000"/>
                <w:sz w:val="18"/>
                <w:szCs w:val="18"/>
              </w:rPr>
            </w:pPr>
            <w:r>
              <w:rPr>
                <w:rFonts w:ascii="Calibri" w:hAnsi="Calibri"/>
                <w:color w:val="000000"/>
                <w:sz w:val="18"/>
                <w:szCs w:val="18"/>
              </w:rPr>
              <w:t>0.17%</w:t>
            </w:r>
          </w:p>
        </w:tc>
        <w:tc>
          <w:tcPr>
            <w:tcW w:w="236" w:type="dxa"/>
            <w:vAlign w:val="center"/>
          </w:tcPr>
          <w:p w:rsidR="006B67F6" w:rsidRDefault="006B67F6">
            <w:pPr>
              <w:jc w:val="right"/>
              <w:rPr>
                <w:rFonts w:ascii="Calibri" w:hAnsi="Calibri"/>
                <w:color w:val="000000"/>
                <w:sz w:val="18"/>
                <w:szCs w:val="18"/>
              </w:rPr>
            </w:pPr>
          </w:p>
        </w:tc>
        <w:tc>
          <w:tcPr>
            <w:tcW w:w="1361" w:type="dxa"/>
            <w:vAlign w:val="center"/>
          </w:tcPr>
          <w:p w:rsidR="006B67F6" w:rsidRDefault="006B67F6">
            <w:pPr>
              <w:jc w:val="right"/>
              <w:rPr>
                <w:rFonts w:ascii="Calibri" w:hAnsi="Calibri"/>
                <w:color w:val="000000"/>
                <w:sz w:val="18"/>
                <w:szCs w:val="18"/>
              </w:rPr>
            </w:pPr>
            <w:r>
              <w:rPr>
                <w:rFonts w:ascii="Calibri" w:hAnsi="Calibri"/>
                <w:color w:val="000000"/>
                <w:sz w:val="18"/>
                <w:szCs w:val="18"/>
              </w:rPr>
              <w:t>32.27%</w:t>
            </w:r>
          </w:p>
        </w:tc>
        <w:tc>
          <w:tcPr>
            <w:tcW w:w="236" w:type="dxa"/>
            <w:vAlign w:val="center"/>
          </w:tcPr>
          <w:p w:rsidR="006B67F6" w:rsidRDefault="006B67F6">
            <w:pPr>
              <w:jc w:val="right"/>
              <w:rPr>
                <w:rFonts w:ascii="Calibri" w:hAnsi="Calibri"/>
                <w:color w:val="000000"/>
                <w:sz w:val="18"/>
                <w:szCs w:val="18"/>
              </w:rPr>
            </w:pPr>
          </w:p>
        </w:tc>
        <w:tc>
          <w:tcPr>
            <w:tcW w:w="1361" w:type="dxa"/>
            <w:vAlign w:val="center"/>
          </w:tcPr>
          <w:p w:rsidR="006B67F6" w:rsidRDefault="006B67F6">
            <w:pPr>
              <w:jc w:val="right"/>
              <w:rPr>
                <w:rFonts w:ascii="Calibri" w:hAnsi="Calibri"/>
                <w:color w:val="000000"/>
                <w:sz w:val="18"/>
                <w:szCs w:val="18"/>
              </w:rPr>
            </w:pPr>
            <w:r>
              <w:rPr>
                <w:rFonts w:ascii="Calibri" w:hAnsi="Calibri"/>
                <w:color w:val="000000"/>
                <w:sz w:val="18"/>
                <w:szCs w:val="18"/>
              </w:rPr>
              <w:t>40.44%</w:t>
            </w:r>
          </w:p>
        </w:tc>
      </w:tr>
      <w:tr w:rsidR="006B67F6" w:rsidRPr="00724F7E" w:rsidTr="00326B4F">
        <w:trPr>
          <w:trHeight w:val="254"/>
          <w:jc w:val="center"/>
        </w:trPr>
        <w:tc>
          <w:tcPr>
            <w:tcW w:w="1247" w:type="dxa"/>
            <w:vMerge w:val="restart"/>
            <w:vAlign w:val="center"/>
          </w:tcPr>
          <w:p w:rsidR="006B67F6" w:rsidRDefault="006B67F6" w:rsidP="00CB3BD3">
            <w:pPr>
              <w:rPr>
                <w:rFonts w:ascii="Calibri" w:hAnsi="Calibri"/>
                <w:color w:val="000000"/>
                <w:sz w:val="20"/>
                <w:szCs w:val="20"/>
              </w:rPr>
            </w:pPr>
            <w:r>
              <w:rPr>
                <w:rFonts w:ascii="Calibri" w:hAnsi="Calibri"/>
                <w:color w:val="000000"/>
                <w:sz w:val="20"/>
                <w:szCs w:val="20"/>
              </w:rPr>
              <w:t>Portugal</w:t>
            </w:r>
          </w:p>
        </w:tc>
        <w:tc>
          <w:tcPr>
            <w:tcW w:w="236" w:type="dxa"/>
          </w:tcPr>
          <w:p w:rsidR="006B67F6" w:rsidRPr="00724F7E" w:rsidRDefault="006B67F6" w:rsidP="00CB3BD3">
            <w:pPr>
              <w:jc w:val="center"/>
              <w:rPr>
                <w:sz w:val="20"/>
                <w:szCs w:val="20"/>
              </w:rPr>
            </w:pPr>
          </w:p>
        </w:tc>
        <w:tc>
          <w:tcPr>
            <w:tcW w:w="1361" w:type="dxa"/>
            <w:vAlign w:val="center"/>
          </w:tcPr>
          <w:p w:rsidR="006B67F6" w:rsidRDefault="006B67F6">
            <w:pPr>
              <w:rPr>
                <w:rFonts w:ascii="Calibri" w:hAnsi="Calibri"/>
                <w:color w:val="000000"/>
              </w:rPr>
            </w:pPr>
            <w:r>
              <w:rPr>
                <w:rFonts w:ascii="Calibri" w:hAnsi="Calibri"/>
                <w:color w:val="000000"/>
              </w:rPr>
              <w:t>-0.218</w:t>
            </w:r>
          </w:p>
        </w:tc>
        <w:tc>
          <w:tcPr>
            <w:tcW w:w="236" w:type="dxa"/>
            <w:vAlign w:val="center"/>
          </w:tcPr>
          <w:p w:rsidR="006B67F6" w:rsidRDefault="006B67F6">
            <w:pPr>
              <w:rPr>
                <w:rFonts w:ascii="Calibri" w:hAnsi="Calibri"/>
                <w:color w:val="000000"/>
              </w:rPr>
            </w:pPr>
          </w:p>
        </w:tc>
        <w:tc>
          <w:tcPr>
            <w:tcW w:w="1361" w:type="dxa"/>
            <w:vAlign w:val="center"/>
          </w:tcPr>
          <w:p w:rsidR="006B67F6" w:rsidRDefault="006B67F6">
            <w:pPr>
              <w:rPr>
                <w:rFonts w:ascii="Calibri" w:hAnsi="Calibri"/>
                <w:color w:val="000000"/>
              </w:rPr>
            </w:pPr>
            <w:r>
              <w:rPr>
                <w:rFonts w:ascii="Calibri" w:hAnsi="Calibri"/>
                <w:color w:val="000000"/>
              </w:rPr>
              <w:t>0.119</w:t>
            </w:r>
          </w:p>
        </w:tc>
        <w:tc>
          <w:tcPr>
            <w:tcW w:w="236" w:type="dxa"/>
            <w:vAlign w:val="center"/>
          </w:tcPr>
          <w:p w:rsidR="006B67F6" w:rsidRDefault="006B67F6">
            <w:pPr>
              <w:rPr>
                <w:rFonts w:ascii="Calibri" w:hAnsi="Calibri"/>
                <w:color w:val="000000"/>
              </w:rPr>
            </w:pPr>
          </w:p>
        </w:tc>
        <w:tc>
          <w:tcPr>
            <w:tcW w:w="1361" w:type="dxa"/>
            <w:vAlign w:val="center"/>
          </w:tcPr>
          <w:p w:rsidR="006B67F6" w:rsidRDefault="006B67F6">
            <w:pPr>
              <w:rPr>
                <w:rFonts w:ascii="Calibri" w:hAnsi="Calibri"/>
                <w:b/>
                <w:bCs/>
                <w:color w:val="FF0000"/>
              </w:rPr>
            </w:pPr>
            <w:r>
              <w:rPr>
                <w:rFonts w:ascii="Calibri" w:hAnsi="Calibri"/>
                <w:b/>
                <w:bCs/>
                <w:color w:val="FF0000"/>
              </w:rPr>
              <w:t>-1.936 ***</w:t>
            </w:r>
          </w:p>
        </w:tc>
        <w:tc>
          <w:tcPr>
            <w:tcW w:w="236" w:type="dxa"/>
            <w:vAlign w:val="center"/>
          </w:tcPr>
          <w:p w:rsidR="006B67F6" w:rsidRDefault="006B67F6">
            <w:pPr>
              <w:rPr>
                <w:rFonts w:ascii="Calibri" w:hAnsi="Calibri"/>
                <w:color w:val="000000"/>
              </w:rPr>
            </w:pPr>
          </w:p>
        </w:tc>
        <w:tc>
          <w:tcPr>
            <w:tcW w:w="1361" w:type="dxa"/>
            <w:vAlign w:val="center"/>
          </w:tcPr>
          <w:p w:rsidR="006B67F6" w:rsidRDefault="006B67F6">
            <w:pPr>
              <w:rPr>
                <w:rFonts w:ascii="Calibri" w:hAnsi="Calibri"/>
                <w:b/>
                <w:bCs/>
                <w:color w:val="FF0000"/>
              </w:rPr>
            </w:pPr>
            <w:r>
              <w:rPr>
                <w:rFonts w:ascii="Calibri" w:hAnsi="Calibri"/>
                <w:b/>
                <w:bCs/>
                <w:color w:val="FF0000"/>
              </w:rPr>
              <w:t>-2.674 ***</w:t>
            </w:r>
          </w:p>
        </w:tc>
      </w:tr>
      <w:tr w:rsidR="006B67F6" w:rsidRPr="00724F7E" w:rsidTr="00326B4F">
        <w:trPr>
          <w:trHeight w:val="254"/>
          <w:jc w:val="center"/>
        </w:trPr>
        <w:tc>
          <w:tcPr>
            <w:tcW w:w="1247" w:type="dxa"/>
            <w:vMerge/>
            <w:vAlign w:val="center"/>
          </w:tcPr>
          <w:p w:rsidR="006B67F6" w:rsidRDefault="006B67F6" w:rsidP="00CB3BD3">
            <w:pPr>
              <w:rPr>
                <w:rFonts w:ascii="Calibri" w:hAnsi="Calibri"/>
                <w:color w:val="000000"/>
                <w:sz w:val="20"/>
                <w:szCs w:val="20"/>
              </w:rPr>
            </w:pPr>
          </w:p>
        </w:tc>
        <w:tc>
          <w:tcPr>
            <w:tcW w:w="236" w:type="dxa"/>
          </w:tcPr>
          <w:p w:rsidR="006B67F6" w:rsidRPr="00724F7E" w:rsidRDefault="006B67F6" w:rsidP="00CB3BD3">
            <w:pPr>
              <w:jc w:val="center"/>
              <w:rPr>
                <w:sz w:val="20"/>
                <w:szCs w:val="20"/>
              </w:rPr>
            </w:pPr>
          </w:p>
        </w:tc>
        <w:tc>
          <w:tcPr>
            <w:tcW w:w="1361" w:type="dxa"/>
            <w:vAlign w:val="center"/>
          </w:tcPr>
          <w:p w:rsidR="006B67F6" w:rsidRDefault="006B67F6">
            <w:pPr>
              <w:jc w:val="right"/>
              <w:rPr>
                <w:rFonts w:ascii="Calibri" w:hAnsi="Calibri"/>
                <w:color w:val="000000"/>
                <w:sz w:val="18"/>
                <w:szCs w:val="18"/>
              </w:rPr>
            </w:pPr>
            <w:r>
              <w:rPr>
                <w:rFonts w:ascii="Calibri" w:hAnsi="Calibri"/>
                <w:color w:val="000000"/>
                <w:sz w:val="18"/>
                <w:szCs w:val="18"/>
              </w:rPr>
              <w:t>-0.01%</w:t>
            </w:r>
          </w:p>
        </w:tc>
        <w:tc>
          <w:tcPr>
            <w:tcW w:w="236" w:type="dxa"/>
            <w:vAlign w:val="center"/>
          </w:tcPr>
          <w:p w:rsidR="006B67F6" w:rsidRDefault="006B67F6">
            <w:pPr>
              <w:jc w:val="right"/>
              <w:rPr>
                <w:rFonts w:ascii="Calibri" w:hAnsi="Calibri"/>
                <w:color w:val="000000"/>
                <w:sz w:val="18"/>
                <w:szCs w:val="18"/>
              </w:rPr>
            </w:pPr>
          </w:p>
        </w:tc>
        <w:tc>
          <w:tcPr>
            <w:tcW w:w="1361" w:type="dxa"/>
            <w:vAlign w:val="center"/>
          </w:tcPr>
          <w:p w:rsidR="006B67F6" w:rsidRDefault="006B67F6">
            <w:pPr>
              <w:jc w:val="right"/>
              <w:rPr>
                <w:rFonts w:ascii="Calibri" w:hAnsi="Calibri"/>
                <w:color w:val="000000"/>
                <w:sz w:val="18"/>
                <w:szCs w:val="18"/>
              </w:rPr>
            </w:pPr>
            <w:r>
              <w:rPr>
                <w:rFonts w:ascii="Calibri" w:hAnsi="Calibri"/>
                <w:color w:val="000000"/>
                <w:sz w:val="18"/>
                <w:szCs w:val="18"/>
              </w:rPr>
              <w:t>0.00%</w:t>
            </w:r>
          </w:p>
        </w:tc>
        <w:tc>
          <w:tcPr>
            <w:tcW w:w="236" w:type="dxa"/>
            <w:vAlign w:val="center"/>
          </w:tcPr>
          <w:p w:rsidR="006B67F6" w:rsidRDefault="006B67F6">
            <w:pPr>
              <w:jc w:val="right"/>
              <w:rPr>
                <w:rFonts w:ascii="Calibri" w:hAnsi="Calibri"/>
                <w:color w:val="000000"/>
                <w:sz w:val="18"/>
                <w:szCs w:val="18"/>
              </w:rPr>
            </w:pPr>
          </w:p>
        </w:tc>
        <w:tc>
          <w:tcPr>
            <w:tcW w:w="1361" w:type="dxa"/>
            <w:vAlign w:val="center"/>
          </w:tcPr>
          <w:p w:rsidR="006B67F6" w:rsidRDefault="006B67F6">
            <w:pPr>
              <w:jc w:val="right"/>
              <w:rPr>
                <w:rFonts w:ascii="Calibri" w:hAnsi="Calibri"/>
                <w:color w:val="000000"/>
                <w:sz w:val="18"/>
                <w:szCs w:val="18"/>
              </w:rPr>
            </w:pPr>
            <w:r>
              <w:rPr>
                <w:rFonts w:ascii="Calibri" w:hAnsi="Calibri"/>
                <w:color w:val="000000"/>
                <w:sz w:val="18"/>
                <w:szCs w:val="18"/>
              </w:rPr>
              <w:t>11.84%</w:t>
            </w:r>
          </w:p>
        </w:tc>
        <w:tc>
          <w:tcPr>
            <w:tcW w:w="236" w:type="dxa"/>
            <w:vAlign w:val="center"/>
          </w:tcPr>
          <w:p w:rsidR="006B67F6" w:rsidRDefault="006B67F6">
            <w:pPr>
              <w:jc w:val="right"/>
              <w:rPr>
                <w:rFonts w:ascii="Calibri" w:hAnsi="Calibri"/>
                <w:color w:val="000000"/>
                <w:sz w:val="18"/>
                <w:szCs w:val="18"/>
              </w:rPr>
            </w:pPr>
          </w:p>
        </w:tc>
        <w:tc>
          <w:tcPr>
            <w:tcW w:w="1361" w:type="dxa"/>
            <w:vAlign w:val="center"/>
          </w:tcPr>
          <w:p w:rsidR="006B67F6" w:rsidRDefault="006B67F6">
            <w:pPr>
              <w:jc w:val="right"/>
              <w:rPr>
                <w:rFonts w:ascii="Calibri" w:hAnsi="Calibri"/>
                <w:color w:val="000000"/>
                <w:sz w:val="18"/>
                <w:szCs w:val="18"/>
              </w:rPr>
            </w:pPr>
            <w:r>
              <w:rPr>
                <w:rFonts w:ascii="Calibri" w:hAnsi="Calibri"/>
                <w:color w:val="000000"/>
                <w:sz w:val="18"/>
                <w:szCs w:val="18"/>
              </w:rPr>
              <w:t>10.29%</w:t>
            </w:r>
          </w:p>
        </w:tc>
      </w:tr>
      <w:tr w:rsidR="006B67F6" w:rsidRPr="00724F7E" w:rsidTr="00326B4F">
        <w:trPr>
          <w:trHeight w:val="254"/>
          <w:jc w:val="center"/>
        </w:trPr>
        <w:tc>
          <w:tcPr>
            <w:tcW w:w="1247" w:type="dxa"/>
            <w:vMerge w:val="restart"/>
            <w:vAlign w:val="center"/>
          </w:tcPr>
          <w:p w:rsidR="006B67F6" w:rsidRDefault="006B67F6" w:rsidP="00CB3BD3">
            <w:pPr>
              <w:rPr>
                <w:rFonts w:ascii="Calibri" w:hAnsi="Calibri"/>
                <w:color w:val="000000"/>
                <w:sz w:val="20"/>
                <w:szCs w:val="20"/>
              </w:rPr>
            </w:pPr>
            <w:r>
              <w:rPr>
                <w:rFonts w:ascii="Calibri" w:hAnsi="Calibri"/>
                <w:color w:val="000000"/>
                <w:sz w:val="20"/>
                <w:szCs w:val="20"/>
              </w:rPr>
              <w:t>Ireland</w:t>
            </w:r>
          </w:p>
        </w:tc>
        <w:tc>
          <w:tcPr>
            <w:tcW w:w="236" w:type="dxa"/>
          </w:tcPr>
          <w:p w:rsidR="006B67F6" w:rsidRPr="00724F7E" w:rsidRDefault="006B67F6" w:rsidP="00CB3BD3">
            <w:pPr>
              <w:jc w:val="center"/>
              <w:rPr>
                <w:sz w:val="20"/>
                <w:szCs w:val="20"/>
              </w:rPr>
            </w:pPr>
          </w:p>
        </w:tc>
        <w:tc>
          <w:tcPr>
            <w:tcW w:w="1361" w:type="dxa"/>
            <w:vAlign w:val="center"/>
          </w:tcPr>
          <w:p w:rsidR="006B67F6" w:rsidRDefault="006B67F6">
            <w:pPr>
              <w:rPr>
                <w:rFonts w:ascii="Calibri" w:hAnsi="Calibri"/>
                <w:color w:val="000000"/>
              </w:rPr>
            </w:pPr>
            <w:r>
              <w:rPr>
                <w:rFonts w:ascii="Calibri" w:hAnsi="Calibri"/>
                <w:color w:val="000000"/>
              </w:rPr>
              <w:t>NA</w:t>
            </w:r>
          </w:p>
        </w:tc>
        <w:tc>
          <w:tcPr>
            <w:tcW w:w="236" w:type="dxa"/>
            <w:vAlign w:val="center"/>
          </w:tcPr>
          <w:p w:rsidR="006B67F6" w:rsidRDefault="006B67F6">
            <w:pPr>
              <w:rPr>
                <w:rFonts w:ascii="Calibri" w:hAnsi="Calibri"/>
                <w:color w:val="000000"/>
              </w:rPr>
            </w:pPr>
          </w:p>
        </w:tc>
        <w:tc>
          <w:tcPr>
            <w:tcW w:w="1361" w:type="dxa"/>
            <w:vAlign w:val="center"/>
          </w:tcPr>
          <w:p w:rsidR="006B67F6" w:rsidRDefault="006B67F6">
            <w:pPr>
              <w:rPr>
                <w:rFonts w:ascii="Calibri" w:hAnsi="Calibri"/>
                <w:b/>
                <w:bCs/>
                <w:color w:val="FF0000"/>
              </w:rPr>
            </w:pPr>
            <w:r>
              <w:rPr>
                <w:rFonts w:ascii="Calibri" w:hAnsi="Calibri"/>
                <w:b/>
                <w:bCs/>
                <w:color w:val="FF0000"/>
              </w:rPr>
              <w:t>-0.766 ***</w:t>
            </w:r>
          </w:p>
        </w:tc>
        <w:tc>
          <w:tcPr>
            <w:tcW w:w="236" w:type="dxa"/>
            <w:vAlign w:val="center"/>
          </w:tcPr>
          <w:p w:rsidR="006B67F6" w:rsidRDefault="006B67F6">
            <w:pPr>
              <w:rPr>
                <w:rFonts w:ascii="Calibri" w:hAnsi="Calibri"/>
                <w:color w:val="000000"/>
              </w:rPr>
            </w:pPr>
          </w:p>
        </w:tc>
        <w:tc>
          <w:tcPr>
            <w:tcW w:w="1361" w:type="dxa"/>
            <w:vAlign w:val="center"/>
          </w:tcPr>
          <w:p w:rsidR="006B67F6" w:rsidRDefault="006B67F6">
            <w:pPr>
              <w:rPr>
                <w:rFonts w:ascii="Calibri" w:hAnsi="Calibri"/>
                <w:b/>
                <w:bCs/>
                <w:color w:val="FF0000"/>
              </w:rPr>
            </w:pPr>
            <w:r>
              <w:rPr>
                <w:rFonts w:ascii="Calibri" w:hAnsi="Calibri"/>
                <w:b/>
                <w:bCs/>
                <w:color w:val="FF0000"/>
              </w:rPr>
              <w:t>-2.566 ***</w:t>
            </w:r>
          </w:p>
        </w:tc>
        <w:tc>
          <w:tcPr>
            <w:tcW w:w="236" w:type="dxa"/>
            <w:vAlign w:val="center"/>
          </w:tcPr>
          <w:p w:rsidR="006B67F6" w:rsidRDefault="006B67F6">
            <w:pPr>
              <w:rPr>
                <w:rFonts w:ascii="Calibri" w:hAnsi="Calibri"/>
                <w:color w:val="000000"/>
              </w:rPr>
            </w:pPr>
          </w:p>
        </w:tc>
        <w:tc>
          <w:tcPr>
            <w:tcW w:w="1361" w:type="dxa"/>
            <w:vAlign w:val="center"/>
          </w:tcPr>
          <w:p w:rsidR="006B67F6" w:rsidRDefault="006B67F6">
            <w:pPr>
              <w:rPr>
                <w:rFonts w:ascii="Calibri" w:hAnsi="Calibri"/>
                <w:b/>
                <w:bCs/>
                <w:color w:val="FF0000"/>
              </w:rPr>
            </w:pPr>
            <w:r>
              <w:rPr>
                <w:rFonts w:ascii="Calibri" w:hAnsi="Calibri"/>
                <w:b/>
                <w:bCs/>
                <w:color w:val="FF0000"/>
              </w:rPr>
              <w:t>-1.710 ***</w:t>
            </w:r>
          </w:p>
        </w:tc>
      </w:tr>
      <w:tr w:rsidR="006B67F6" w:rsidRPr="009E2934" w:rsidTr="00326B4F">
        <w:trPr>
          <w:trHeight w:val="254"/>
          <w:jc w:val="center"/>
        </w:trPr>
        <w:tc>
          <w:tcPr>
            <w:tcW w:w="1247" w:type="dxa"/>
            <w:vMerge/>
            <w:vAlign w:val="center"/>
          </w:tcPr>
          <w:p w:rsidR="006B67F6" w:rsidRDefault="006B67F6" w:rsidP="00CB3BD3">
            <w:pPr>
              <w:rPr>
                <w:rFonts w:ascii="Calibri" w:hAnsi="Calibri"/>
                <w:color w:val="000000"/>
                <w:sz w:val="20"/>
                <w:szCs w:val="20"/>
              </w:rPr>
            </w:pPr>
          </w:p>
        </w:tc>
        <w:tc>
          <w:tcPr>
            <w:tcW w:w="236" w:type="dxa"/>
          </w:tcPr>
          <w:p w:rsidR="006B67F6" w:rsidRPr="00724F7E" w:rsidRDefault="006B67F6" w:rsidP="00CB3BD3">
            <w:pPr>
              <w:jc w:val="center"/>
              <w:rPr>
                <w:sz w:val="20"/>
                <w:szCs w:val="20"/>
              </w:rPr>
            </w:pPr>
          </w:p>
        </w:tc>
        <w:tc>
          <w:tcPr>
            <w:tcW w:w="1361" w:type="dxa"/>
            <w:vAlign w:val="center"/>
          </w:tcPr>
          <w:p w:rsidR="006B67F6" w:rsidRDefault="006B67F6">
            <w:pPr>
              <w:jc w:val="right"/>
              <w:rPr>
                <w:rFonts w:ascii="Calibri" w:hAnsi="Calibri"/>
                <w:color w:val="000000"/>
                <w:sz w:val="18"/>
                <w:szCs w:val="18"/>
              </w:rPr>
            </w:pPr>
            <w:r>
              <w:rPr>
                <w:rFonts w:ascii="Calibri" w:hAnsi="Calibri"/>
                <w:color w:val="000000"/>
                <w:sz w:val="18"/>
                <w:szCs w:val="18"/>
              </w:rPr>
              <w:t>NA</w:t>
            </w:r>
          </w:p>
        </w:tc>
        <w:tc>
          <w:tcPr>
            <w:tcW w:w="236" w:type="dxa"/>
            <w:vAlign w:val="center"/>
          </w:tcPr>
          <w:p w:rsidR="006B67F6" w:rsidRDefault="006B67F6">
            <w:pPr>
              <w:jc w:val="right"/>
              <w:rPr>
                <w:rFonts w:ascii="Calibri" w:hAnsi="Calibri"/>
                <w:color w:val="000000"/>
                <w:sz w:val="18"/>
                <w:szCs w:val="18"/>
              </w:rPr>
            </w:pPr>
          </w:p>
        </w:tc>
        <w:tc>
          <w:tcPr>
            <w:tcW w:w="1361" w:type="dxa"/>
            <w:vAlign w:val="center"/>
          </w:tcPr>
          <w:p w:rsidR="006B67F6" w:rsidRDefault="006B67F6">
            <w:pPr>
              <w:jc w:val="right"/>
              <w:rPr>
                <w:rFonts w:ascii="Calibri" w:hAnsi="Calibri"/>
                <w:color w:val="000000"/>
                <w:sz w:val="18"/>
                <w:szCs w:val="18"/>
              </w:rPr>
            </w:pPr>
            <w:r>
              <w:rPr>
                <w:rFonts w:ascii="Calibri" w:hAnsi="Calibri"/>
                <w:color w:val="000000"/>
                <w:sz w:val="18"/>
                <w:szCs w:val="18"/>
              </w:rPr>
              <w:t>1.90%</w:t>
            </w:r>
          </w:p>
        </w:tc>
        <w:tc>
          <w:tcPr>
            <w:tcW w:w="236" w:type="dxa"/>
            <w:vAlign w:val="center"/>
          </w:tcPr>
          <w:p w:rsidR="006B67F6" w:rsidRDefault="006B67F6">
            <w:pPr>
              <w:jc w:val="right"/>
              <w:rPr>
                <w:rFonts w:ascii="Calibri" w:hAnsi="Calibri"/>
                <w:color w:val="000000"/>
                <w:sz w:val="18"/>
                <w:szCs w:val="18"/>
              </w:rPr>
            </w:pPr>
          </w:p>
        </w:tc>
        <w:tc>
          <w:tcPr>
            <w:tcW w:w="1361" w:type="dxa"/>
            <w:vAlign w:val="center"/>
          </w:tcPr>
          <w:p w:rsidR="006B67F6" w:rsidRDefault="006B67F6">
            <w:pPr>
              <w:jc w:val="right"/>
              <w:rPr>
                <w:rFonts w:ascii="Calibri" w:hAnsi="Calibri"/>
                <w:color w:val="000000"/>
                <w:sz w:val="18"/>
                <w:szCs w:val="18"/>
              </w:rPr>
            </w:pPr>
            <w:r>
              <w:rPr>
                <w:rFonts w:ascii="Calibri" w:hAnsi="Calibri"/>
                <w:color w:val="000000"/>
                <w:sz w:val="18"/>
                <w:szCs w:val="18"/>
              </w:rPr>
              <w:t>20.90%</w:t>
            </w:r>
          </w:p>
        </w:tc>
        <w:tc>
          <w:tcPr>
            <w:tcW w:w="236" w:type="dxa"/>
            <w:vAlign w:val="center"/>
          </w:tcPr>
          <w:p w:rsidR="006B67F6" w:rsidRDefault="006B67F6">
            <w:pPr>
              <w:jc w:val="right"/>
              <w:rPr>
                <w:rFonts w:ascii="Calibri" w:hAnsi="Calibri"/>
                <w:color w:val="000000"/>
                <w:sz w:val="18"/>
                <w:szCs w:val="18"/>
              </w:rPr>
            </w:pPr>
          </w:p>
        </w:tc>
        <w:tc>
          <w:tcPr>
            <w:tcW w:w="1361" w:type="dxa"/>
            <w:vAlign w:val="center"/>
          </w:tcPr>
          <w:p w:rsidR="006B67F6" w:rsidRDefault="006B67F6">
            <w:pPr>
              <w:jc w:val="right"/>
              <w:rPr>
                <w:rFonts w:ascii="Calibri" w:hAnsi="Calibri"/>
                <w:color w:val="000000"/>
                <w:sz w:val="18"/>
                <w:szCs w:val="18"/>
              </w:rPr>
            </w:pPr>
            <w:r>
              <w:rPr>
                <w:rFonts w:ascii="Calibri" w:hAnsi="Calibri"/>
                <w:color w:val="000000"/>
                <w:sz w:val="18"/>
                <w:szCs w:val="18"/>
              </w:rPr>
              <w:t>6.01%</w:t>
            </w:r>
          </w:p>
        </w:tc>
      </w:tr>
      <w:tr w:rsidR="006B67F6" w:rsidRPr="00724F7E" w:rsidTr="00326B4F">
        <w:trPr>
          <w:trHeight w:val="254"/>
          <w:jc w:val="center"/>
        </w:trPr>
        <w:tc>
          <w:tcPr>
            <w:tcW w:w="1247" w:type="dxa"/>
            <w:vMerge w:val="restart"/>
            <w:vAlign w:val="center"/>
          </w:tcPr>
          <w:p w:rsidR="006B67F6" w:rsidRDefault="006B67F6" w:rsidP="00CB3BD3">
            <w:pPr>
              <w:rPr>
                <w:rFonts w:ascii="Calibri" w:hAnsi="Calibri"/>
                <w:color w:val="000000"/>
                <w:sz w:val="20"/>
                <w:szCs w:val="20"/>
              </w:rPr>
            </w:pPr>
            <w:r>
              <w:rPr>
                <w:rFonts w:ascii="Calibri" w:hAnsi="Calibri"/>
                <w:color w:val="000000"/>
                <w:sz w:val="20"/>
                <w:szCs w:val="20"/>
              </w:rPr>
              <w:t>Greece</w:t>
            </w:r>
          </w:p>
        </w:tc>
        <w:tc>
          <w:tcPr>
            <w:tcW w:w="236" w:type="dxa"/>
          </w:tcPr>
          <w:p w:rsidR="006B67F6" w:rsidRPr="00724F7E" w:rsidRDefault="006B67F6" w:rsidP="00CB3BD3">
            <w:pPr>
              <w:jc w:val="center"/>
              <w:rPr>
                <w:sz w:val="20"/>
                <w:szCs w:val="20"/>
              </w:rPr>
            </w:pPr>
          </w:p>
        </w:tc>
        <w:tc>
          <w:tcPr>
            <w:tcW w:w="1361" w:type="dxa"/>
            <w:vAlign w:val="center"/>
          </w:tcPr>
          <w:p w:rsidR="006B67F6" w:rsidRDefault="006B67F6">
            <w:pPr>
              <w:rPr>
                <w:rFonts w:ascii="Calibri" w:hAnsi="Calibri"/>
                <w:color w:val="000000"/>
              </w:rPr>
            </w:pPr>
            <w:r>
              <w:rPr>
                <w:rFonts w:ascii="Calibri" w:hAnsi="Calibri"/>
                <w:color w:val="000000"/>
              </w:rPr>
              <w:t>0.690</w:t>
            </w:r>
          </w:p>
        </w:tc>
        <w:tc>
          <w:tcPr>
            <w:tcW w:w="236" w:type="dxa"/>
            <w:vAlign w:val="center"/>
          </w:tcPr>
          <w:p w:rsidR="006B67F6" w:rsidRDefault="006B67F6">
            <w:pPr>
              <w:rPr>
                <w:rFonts w:ascii="Calibri" w:hAnsi="Calibri"/>
                <w:color w:val="000000"/>
              </w:rPr>
            </w:pPr>
          </w:p>
        </w:tc>
        <w:tc>
          <w:tcPr>
            <w:tcW w:w="1361" w:type="dxa"/>
            <w:vAlign w:val="center"/>
          </w:tcPr>
          <w:p w:rsidR="006B67F6" w:rsidRDefault="006B67F6">
            <w:pPr>
              <w:rPr>
                <w:rFonts w:ascii="Calibri" w:hAnsi="Calibri"/>
                <w:b/>
                <w:bCs/>
                <w:color w:val="FF0000"/>
              </w:rPr>
            </w:pPr>
            <w:r>
              <w:rPr>
                <w:rFonts w:ascii="Calibri" w:hAnsi="Calibri"/>
                <w:b/>
                <w:bCs/>
                <w:color w:val="FF0000"/>
              </w:rPr>
              <w:t>-1.713 ***</w:t>
            </w:r>
          </w:p>
        </w:tc>
        <w:tc>
          <w:tcPr>
            <w:tcW w:w="236" w:type="dxa"/>
            <w:vAlign w:val="center"/>
          </w:tcPr>
          <w:p w:rsidR="006B67F6" w:rsidRDefault="006B67F6">
            <w:pPr>
              <w:rPr>
                <w:rFonts w:ascii="Calibri" w:hAnsi="Calibri"/>
                <w:color w:val="000000"/>
              </w:rPr>
            </w:pPr>
          </w:p>
        </w:tc>
        <w:tc>
          <w:tcPr>
            <w:tcW w:w="1361" w:type="dxa"/>
            <w:vAlign w:val="center"/>
          </w:tcPr>
          <w:p w:rsidR="006B67F6" w:rsidRDefault="006B67F6">
            <w:pPr>
              <w:rPr>
                <w:rFonts w:ascii="Calibri" w:hAnsi="Calibri"/>
                <w:b/>
                <w:bCs/>
                <w:color w:val="FF0000"/>
              </w:rPr>
            </w:pPr>
            <w:r>
              <w:rPr>
                <w:rFonts w:ascii="Calibri" w:hAnsi="Calibri"/>
                <w:b/>
                <w:bCs/>
                <w:color w:val="FF0000"/>
              </w:rPr>
              <w:t>-2.032 ***</w:t>
            </w:r>
          </w:p>
        </w:tc>
        <w:tc>
          <w:tcPr>
            <w:tcW w:w="236" w:type="dxa"/>
            <w:vAlign w:val="center"/>
          </w:tcPr>
          <w:p w:rsidR="006B67F6" w:rsidRDefault="006B67F6">
            <w:pPr>
              <w:rPr>
                <w:rFonts w:ascii="Calibri" w:hAnsi="Calibri"/>
                <w:color w:val="000000"/>
              </w:rPr>
            </w:pPr>
          </w:p>
        </w:tc>
        <w:tc>
          <w:tcPr>
            <w:tcW w:w="1361" w:type="dxa"/>
            <w:vAlign w:val="center"/>
          </w:tcPr>
          <w:p w:rsidR="006B67F6" w:rsidRDefault="006B67F6">
            <w:pPr>
              <w:rPr>
                <w:rFonts w:ascii="Calibri" w:hAnsi="Calibri"/>
                <w:color w:val="000000"/>
              </w:rPr>
            </w:pPr>
            <w:r>
              <w:rPr>
                <w:rFonts w:ascii="Calibri" w:hAnsi="Calibri"/>
                <w:color w:val="000000"/>
              </w:rPr>
              <w:t>NA</w:t>
            </w:r>
          </w:p>
        </w:tc>
      </w:tr>
      <w:tr w:rsidR="006B67F6" w:rsidRPr="009E2934" w:rsidTr="00326B4F">
        <w:trPr>
          <w:trHeight w:val="254"/>
          <w:jc w:val="center"/>
        </w:trPr>
        <w:tc>
          <w:tcPr>
            <w:tcW w:w="1247" w:type="dxa"/>
            <w:vMerge/>
            <w:tcBorders>
              <w:bottom w:val="single" w:sz="4" w:space="0" w:color="auto"/>
            </w:tcBorders>
            <w:vAlign w:val="center"/>
          </w:tcPr>
          <w:p w:rsidR="006B67F6" w:rsidRDefault="006B67F6" w:rsidP="00CB3BD3">
            <w:pPr>
              <w:rPr>
                <w:rFonts w:ascii="Calibri" w:hAnsi="Calibri"/>
                <w:color w:val="000000"/>
                <w:sz w:val="20"/>
                <w:szCs w:val="20"/>
              </w:rPr>
            </w:pPr>
          </w:p>
        </w:tc>
        <w:tc>
          <w:tcPr>
            <w:tcW w:w="236" w:type="dxa"/>
            <w:tcBorders>
              <w:bottom w:val="single" w:sz="4" w:space="0" w:color="auto"/>
            </w:tcBorders>
          </w:tcPr>
          <w:p w:rsidR="006B67F6" w:rsidRPr="00724F7E" w:rsidRDefault="006B67F6" w:rsidP="00CB3BD3">
            <w:pPr>
              <w:jc w:val="center"/>
              <w:rPr>
                <w:sz w:val="20"/>
                <w:szCs w:val="20"/>
              </w:rPr>
            </w:pPr>
          </w:p>
        </w:tc>
        <w:tc>
          <w:tcPr>
            <w:tcW w:w="1361" w:type="dxa"/>
            <w:tcBorders>
              <w:bottom w:val="single" w:sz="4" w:space="0" w:color="auto"/>
            </w:tcBorders>
            <w:vAlign w:val="center"/>
          </w:tcPr>
          <w:p w:rsidR="006B67F6" w:rsidRDefault="006B67F6">
            <w:pPr>
              <w:jc w:val="right"/>
              <w:rPr>
                <w:rFonts w:ascii="Calibri" w:hAnsi="Calibri"/>
                <w:color w:val="000000"/>
                <w:sz w:val="18"/>
                <w:szCs w:val="18"/>
              </w:rPr>
            </w:pPr>
            <w:r>
              <w:rPr>
                <w:rFonts w:ascii="Calibri" w:hAnsi="Calibri"/>
                <w:color w:val="000000"/>
                <w:sz w:val="18"/>
                <w:szCs w:val="18"/>
              </w:rPr>
              <w:t>0.08%</w:t>
            </w:r>
          </w:p>
        </w:tc>
        <w:tc>
          <w:tcPr>
            <w:tcW w:w="236" w:type="dxa"/>
            <w:tcBorders>
              <w:bottom w:val="single" w:sz="4" w:space="0" w:color="auto"/>
            </w:tcBorders>
            <w:vAlign w:val="center"/>
          </w:tcPr>
          <w:p w:rsidR="006B67F6" w:rsidRDefault="006B67F6">
            <w:pPr>
              <w:jc w:val="right"/>
              <w:rPr>
                <w:rFonts w:ascii="Calibri" w:hAnsi="Calibri"/>
                <w:color w:val="000000"/>
                <w:sz w:val="18"/>
                <w:szCs w:val="18"/>
              </w:rPr>
            </w:pPr>
            <w:r>
              <w:rPr>
                <w:rFonts w:ascii="Calibri" w:hAnsi="Calibri"/>
                <w:color w:val="000000"/>
                <w:sz w:val="18"/>
                <w:szCs w:val="18"/>
              </w:rPr>
              <w:t> </w:t>
            </w:r>
          </w:p>
        </w:tc>
        <w:tc>
          <w:tcPr>
            <w:tcW w:w="1361" w:type="dxa"/>
            <w:tcBorders>
              <w:bottom w:val="single" w:sz="4" w:space="0" w:color="auto"/>
            </w:tcBorders>
            <w:vAlign w:val="center"/>
          </w:tcPr>
          <w:p w:rsidR="006B67F6" w:rsidRDefault="006B67F6">
            <w:pPr>
              <w:jc w:val="right"/>
              <w:rPr>
                <w:rFonts w:ascii="Calibri" w:hAnsi="Calibri"/>
                <w:color w:val="000000"/>
                <w:sz w:val="18"/>
                <w:szCs w:val="18"/>
              </w:rPr>
            </w:pPr>
            <w:r>
              <w:rPr>
                <w:rFonts w:ascii="Calibri" w:hAnsi="Calibri"/>
                <w:color w:val="000000"/>
                <w:sz w:val="18"/>
                <w:szCs w:val="18"/>
              </w:rPr>
              <w:t>5.31%</w:t>
            </w:r>
          </w:p>
        </w:tc>
        <w:tc>
          <w:tcPr>
            <w:tcW w:w="236" w:type="dxa"/>
            <w:tcBorders>
              <w:bottom w:val="single" w:sz="4" w:space="0" w:color="auto"/>
            </w:tcBorders>
            <w:vAlign w:val="center"/>
          </w:tcPr>
          <w:p w:rsidR="006B67F6" w:rsidRDefault="006B67F6">
            <w:pPr>
              <w:jc w:val="right"/>
              <w:rPr>
                <w:rFonts w:ascii="Calibri" w:hAnsi="Calibri"/>
                <w:color w:val="000000"/>
                <w:sz w:val="18"/>
                <w:szCs w:val="18"/>
              </w:rPr>
            </w:pPr>
            <w:r>
              <w:rPr>
                <w:rFonts w:ascii="Calibri" w:hAnsi="Calibri"/>
                <w:color w:val="000000"/>
                <w:sz w:val="18"/>
                <w:szCs w:val="18"/>
              </w:rPr>
              <w:t> </w:t>
            </w:r>
          </w:p>
        </w:tc>
        <w:tc>
          <w:tcPr>
            <w:tcW w:w="1361" w:type="dxa"/>
            <w:tcBorders>
              <w:bottom w:val="single" w:sz="4" w:space="0" w:color="auto"/>
            </w:tcBorders>
            <w:vAlign w:val="center"/>
          </w:tcPr>
          <w:p w:rsidR="006B67F6" w:rsidRDefault="006B67F6">
            <w:pPr>
              <w:jc w:val="right"/>
              <w:rPr>
                <w:rFonts w:ascii="Calibri" w:hAnsi="Calibri"/>
                <w:color w:val="000000"/>
                <w:sz w:val="18"/>
                <w:szCs w:val="18"/>
              </w:rPr>
            </w:pPr>
            <w:r>
              <w:rPr>
                <w:rFonts w:ascii="Calibri" w:hAnsi="Calibri"/>
                <w:color w:val="000000"/>
                <w:sz w:val="18"/>
                <w:szCs w:val="18"/>
              </w:rPr>
              <w:t>21.57%</w:t>
            </w:r>
          </w:p>
        </w:tc>
        <w:tc>
          <w:tcPr>
            <w:tcW w:w="236" w:type="dxa"/>
            <w:tcBorders>
              <w:bottom w:val="single" w:sz="4" w:space="0" w:color="auto"/>
            </w:tcBorders>
            <w:vAlign w:val="center"/>
          </w:tcPr>
          <w:p w:rsidR="006B67F6" w:rsidRDefault="006B67F6">
            <w:pPr>
              <w:jc w:val="right"/>
              <w:rPr>
                <w:rFonts w:ascii="Calibri" w:hAnsi="Calibri"/>
                <w:color w:val="000000"/>
                <w:sz w:val="18"/>
                <w:szCs w:val="18"/>
              </w:rPr>
            </w:pPr>
            <w:r>
              <w:rPr>
                <w:rFonts w:ascii="Calibri" w:hAnsi="Calibri"/>
                <w:color w:val="000000"/>
                <w:sz w:val="18"/>
                <w:szCs w:val="18"/>
              </w:rPr>
              <w:t> </w:t>
            </w:r>
          </w:p>
        </w:tc>
        <w:tc>
          <w:tcPr>
            <w:tcW w:w="1361" w:type="dxa"/>
            <w:tcBorders>
              <w:bottom w:val="single" w:sz="4" w:space="0" w:color="auto"/>
            </w:tcBorders>
            <w:vAlign w:val="center"/>
          </w:tcPr>
          <w:p w:rsidR="006B67F6" w:rsidRDefault="006B67F6">
            <w:pPr>
              <w:jc w:val="right"/>
              <w:rPr>
                <w:rFonts w:ascii="Calibri" w:hAnsi="Calibri"/>
                <w:color w:val="000000"/>
                <w:sz w:val="18"/>
                <w:szCs w:val="18"/>
              </w:rPr>
            </w:pPr>
            <w:r>
              <w:rPr>
                <w:rFonts w:ascii="Calibri" w:hAnsi="Calibri"/>
                <w:color w:val="000000"/>
                <w:sz w:val="18"/>
                <w:szCs w:val="18"/>
              </w:rPr>
              <w:t>NA</w:t>
            </w:r>
          </w:p>
        </w:tc>
      </w:tr>
    </w:tbl>
    <w:p w:rsidR="00A10954" w:rsidRDefault="00A10954" w:rsidP="00A10954">
      <w:pPr>
        <w:pStyle w:val="Default"/>
        <w:rPr>
          <w:rFonts w:ascii="TTdcr10" w:hAnsi="TTdcr10" w:cs="TTdcr10"/>
          <w:color w:val="auto"/>
        </w:rPr>
      </w:pPr>
    </w:p>
    <w:p w:rsidR="00A10954" w:rsidRPr="00926E17" w:rsidRDefault="00A10954" w:rsidP="00A10954"/>
    <w:p w:rsidR="00A10954" w:rsidRDefault="00A10954" w:rsidP="00A10954"/>
    <w:p w:rsidR="00A10954" w:rsidRDefault="00A10954" w:rsidP="00A10954">
      <w:pPr>
        <w:tabs>
          <w:tab w:val="left" w:pos="1190"/>
        </w:tabs>
      </w:pPr>
      <w:r>
        <w:tab/>
      </w:r>
    </w:p>
    <w:p w:rsidR="00A10954" w:rsidRDefault="00A10954" w:rsidP="00A10954">
      <w:pPr>
        <w:tabs>
          <w:tab w:val="left" w:pos="1190"/>
        </w:tabs>
      </w:pPr>
    </w:p>
    <w:p w:rsidR="00A10954" w:rsidRDefault="00A10954" w:rsidP="00A10954">
      <w:pPr>
        <w:tabs>
          <w:tab w:val="left" w:pos="1190"/>
        </w:tabs>
      </w:pPr>
    </w:p>
    <w:p w:rsidR="00A10954" w:rsidRDefault="00A10954" w:rsidP="00A10954">
      <w:pPr>
        <w:tabs>
          <w:tab w:val="left" w:pos="1190"/>
        </w:tabs>
        <w:sectPr w:rsidR="00A10954" w:rsidSect="00CB3BD3">
          <w:footnotePr>
            <w:numRestart w:val="eachSect"/>
          </w:footnotePr>
          <w:pgSz w:w="11906" w:h="16838"/>
          <w:pgMar w:top="1440" w:right="1440" w:bottom="1440" w:left="1440" w:header="708" w:footer="708" w:gutter="0"/>
          <w:cols w:space="708"/>
          <w:docGrid w:linePitch="360"/>
        </w:sectPr>
      </w:pPr>
    </w:p>
    <w:tbl>
      <w:tblPr>
        <w:tblStyle w:val="Grigliatabella"/>
        <w:tblW w:w="763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236"/>
        <w:gridCol w:w="1361"/>
        <w:gridCol w:w="236"/>
        <w:gridCol w:w="1361"/>
        <w:gridCol w:w="236"/>
        <w:gridCol w:w="1361"/>
        <w:gridCol w:w="236"/>
        <w:gridCol w:w="1361"/>
      </w:tblGrid>
      <w:tr w:rsidR="00A10954" w:rsidRPr="00724F7E" w:rsidTr="00CB3BD3">
        <w:trPr>
          <w:trHeight w:val="20"/>
          <w:jc w:val="center"/>
        </w:trPr>
        <w:tc>
          <w:tcPr>
            <w:tcW w:w="7635" w:type="dxa"/>
            <w:gridSpan w:val="9"/>
            <w:vAlign w:val="center"/>
          </w:tcPr>
          <w:p w:rsidR="00A10954" w:rsidRPr="00724F7E" w:rsidRDefault="00A10954" w:rsidP="00CB3BD3">
            <w:pPr>
              <w:jc w:val="center"/>
              <w:rPr>
                <w:b/>
                <w:sz w:val="20"/>
                <w:szCs w:val="20"/>
              </w:rPr>
            </w:pPr>
            <w:r>
              <w:rPr>
                <w:b/>
                <w:sz w:val="20"/>
                <w:szCs w:val="20"/>
              </w:rPr>
              <w:lastRenderedPageBreak/>
              <w:t>Table V</w:t>
            </w:r>
          </w:p>
          <w:p w:rsidR="00A10954" w:rsidRPr="00724F7E" w:rsidRDefault="00A10954" w:rsidP="0025269F">
            <w:pPr>
              <w:jc w:val="center"/>
              <w:rPr>
                <w:sz w:val="20"/>
                <w:szCs w:val="20"/>
              </w:rPr>
            </w:pPr>
            <w:r w:rsidRPr="00724F7E">
              <w:rPr>
                <w:b/>
                <w:szCs w:val="20"/>
              </w:rPr>
              <w:t xml:space="preserve">Regressions </w:t>
            </w:r>
            <w:r w:rsidR="0025269F">
              <w:rPr>
                <w:b/>
                <w:szCs w:val="20"/>
              </w:rPr>
              <w:t xml:space="preserve">of </w:t>
            </w:r>
            <w:r>
              <w:rPr>
                <w:b/>
                <w:szCs w:val="20"/>
              </w:rPr>
              <w:t xml:space="preserve">excess sovereign bond returns </w:t>
            </w:r>
            <w:r w:rsidR="0025269F">
              <w:rPr>
                <w:b/>
                <w:szCs w:val="20"/>
              </w:rPr>
              <w:t xml:space="preserve">on </w:t>
            </w:r>
            <w:r>
              <w:rPr>
                <w:b/>
                <w:szCs w:val="20"/>
              </w:rPr>
              <w:t xml:space="preserve">changes in </w:t>
            </w:r>
            <w:r w:rsidR="0025269F">
              <w:rPr>
                <w:b/>
                <w:szCs w:val="20"/>
              </w:rPr>
              <w:t xml:space="preserve">Bid-Ask </w:t>
            </w:r>
            <w:r>
              <w:rPr>
                <w:b/>
                <w:szCs w:val="20"/>
              </w:rPr>
              <w:t>spreads</w:t>
            </w:r>
          </w:p>
        </w:tc>
      </w:tr>
      <w:tr w:rsidR="00A10954" w:rsidRPr="00724F7E" w:rsidTr="00CB3BD3">
        <w:trPr>
          <w:trHeight w:val="20"/>
          <w:jc w:val="center"/>
        </w:trPr>
        <w:tc>
          <w:tcPr>
            <w:tcW w:w="7635" w:type="dxa"/>
            <w:gridSpan w:val="9"/>
            <w:tcBorders>
              <w:bottom w:val="single" w:sz="4" w:space="0" w:color="auto"/>
            </w:tcBorders>
            <w:vAlign w:val="center"/>
          </w:tcPr>
          <w:p w:rsidR="00A10954" w:rsidRDefault="0025269F" w:rsidP="00CB3BD3">
            <w:pPr>
              <w:autoSpaceDE w:val="0"/>
              <w:autoSpaceDN w:val="0"/>
              <w:adjustRightInd w:val="0"/>
              <w:jc w:val="both"/>
              <w:rPr>
                <w:sz w:val="20"/>
                <w:szCs w:val="20"/>
              </w:rPr>
            </w:pPr>
            <w:r w:rsidRPr="00724F7E">
              <w:rPr>
                <w:sz w:val="20"/>
                <w:szCs w:val="20"/>
              </w:rPr>
              <w:t xml:space="preserve">This table reports </w:t>
            </w:r>
            <w:r>
              <w:rPr>
                <w:sz w:val="20"/>
                <w:szCs w:val="20"/>
              </w:rPr>
              <w:t>the coefficients of sovereign bond returns’ bid-ask spreads estimated with the following pooled regression model</w:t>
            </w:r>
            <w:r w:rsidR="00A10954">
              <w:rPr>
                <w:sz w:val="20"/>
                <w:szCs w:val="20"/>
              </w:rPr>
              <w:t>:</w:t>
            </w:r>
            <w:r w:rsidR="00A10954" w:rsidRPr="00724F7E">
              <w:rPr>
                <w:sz w:val="20"/>
                <w:szCs w:val="20"/>
              </w:rPr>
              <w:t xml:space="preserve"> </w:t>
            </w:r>
          </w:p>
          <w:p w:rsidR="00A10954" w:rsidRPr="007E6A0D" w:rsidRDefault="00CE06E1" w:rsidP="00CB3BD3">
            <w:pPr>
              <w:autoSpaceDE w:val="0"/>
              <w:autoSpaceDN w:val="0"/>
              <w:adjustRightInd w:val="0"/>
              <w:jc w:val="both"/>
            </w:pPr>
            <m:oMathPara>
              <m:oMath>
                <m:sSub>
                  <m:sSubPr>
                    <m:ctrlPr>
                      <w:rPr>
                        <w:rFonts w:ascii="Cambria Math" w:hAnsi="Cambria Math"/>
                        <w:i/>
                      </w:rPr>
                    </m:ctrlPr>
                  </m:sSubPr>
                  <m:e>
                    <m:r>
                      <w:rPr>
                        <w:rFonts w:ascii="Cambria Math" w:hAnsi="Cambria Math"/>
                      </w:rPr>
                      <m:t>RB</m:t>
                    </m:r>
                  </m:e>
                  <m:sub>
                    <m:r>
                      <w:rPr>
                        <w:rFonts w:ascii="Cambria Math" w:hAnsi="Cambria Math"/>
                      </w:rPr>
                      <m:t>i,cr,t</m:t>
                    </m:r>
                  </m:sub>
                </m:sSub>
                <m:r>
                  <w:rPr>
                    <w:rFonts w:ascii="Cambria Math" w:hAnsi="Cambria Math"/>
                  </w:rPr>
                  <m:t>-</m:t>
                </m:r>
                <m:sSub>
                  <m:sSubPr>
                    <m:ctrlPr>
                      <w:rPr>
                        <w:rFonts w:ascii="Cambria Math" w:hAnsi="Cambria Math"/>
                        <w:i/>
                      </w:rPr>
                    </m:ctrlPr>
                  </m:sSubPr>
                  <m:e>
                    <m:r>
                      <w:rPr>
                        <w:rFonts w:ascii="Cambria Math" w:hAnsi="Cambria Math"/>
                      </w:rPr>
                      <m:t>RECB</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c+β</m:t>
                    </m:r>
                  </m:e>
                  <m:sub>
                    <m:r>
                      <w:rPr>
                        <w:rFonts w:ascii="Cambria Math" w:hAnsi="Cambria Math"/>
                      </w:rPr>
                      <m:t>SPR</m:t>
                    </m:r>
                  </m:sub>
                </m:sSub>
                <m:sSub>
                  <m:sSubPr>
                    <m:ctrlPr>
                      <w:rPr>
                        <w:rFonts w:ascii="Cambria Math" w:hAnsi="Cambria Math"/>
                        <w:i/>
                      </w:rPr>
                    </m:ctrlPr>
                  </m:sSubPr>
                  <m:e>
                    <m:r>
                      <w:rPr>
                        <w:rFonts w:ascii="Cambria Math" w:hAnsi="Cambria Math"/>
                      </w:rPr>
                      <m:t>∆Spr</m:t>
                    </m:r>
                  </m:e>
                  <m:sub>
                    <m:r>
                      <w:rPr>
                        <w:rFonts w:ascii="Cambria Math" w:hAnsi="Cambria Math"/>
                      </w:rPr>
                      <m:t>i,cr,t</m:t>
                    </m:r>
                  </m:sub>
                </m:sSub>
                <m:r>
                  <w:rPr>
                    <w:rFonts w:ascii="Cambria Math" w:hAnsi="Cambria Math"/>
                  </w:rPr>
                  <m:t xml:space="preserve"> +</m:t>
                </m:r>
                <m:sSub>
                  <m:sSubPr>
                    <m:ctrlPr>
                      <w:rPr>
                        <w:rFonts w:ascii="Cambria Math" w:hAnsi="Cambria Math"/>
                        <w:i/>
                      </w:rPr>
                    </m:ctrlPr>
                  </m:sSubPr>
                  <m:e>
                    <m:r>
                      <w:rPr>
                        <w:rFonts w:ascii="Cambria Math" w:hAnsi="Cambria Math"/>
                      </w:rPr>
                      <m:t>ε</m:t>
                    </m:r>
                  </m:e>
                  <m:sub>
                    <m:r>
                      <w:rPr>
                        <w:rFonts w:ascii="Cambria Math" w:hAnsi="Cambria Math"/>
                      </w:rPr>
                      <m:t>i,cr,t</m:t>
                    </m:r>
                  </m:sub>
                </m:sSub>
                <m:r>
                  <w:rPr>
                    <w:rFonts w:ascii="Cambria Math" w:hAnsi="Cambria Math"/>
                  </w:rPr>
                  <m:t xml:space="preserve"> </m:t>
                </m:r>
              </m:oMath>
            </m:oMathPara>
          </w:p>
          <w:p w:rsidR="00A10954" w:rsidRPr="00724F7E" w:rsidRDefault="00A10954" w:rsidP="007F2D07">
            <w:pPr>
              <w:autoSpaceDE w:val="0"/>
              <w:autoSpaceDN w:val="0"/>
              <w:adjustRightInd w:val="0"/>
              <w:jc w:val="both"/>
              <w:rPr>
                <w:sz w:val="20"/>
                <w:szCs w:val="20"/>
              </w:rPr>
            </w:pPr>
            <w:r>
              <w:rPr>
                <w:sz w:val="20"/>
                <w:szCs w:val="20"/>
              </w:rPr>
              <w:t>where RB represents the bond specific return, ΔSpr</w:t>
            </w:r>
            <w:r w:rsidRPr="00724F7E">
              <w:rPr>
                <w:sz w:val="20"/>
                <w:szCs w:val="20"/>
              </w:rPr>
              <w:t xml:space="preserve"> refers to the</w:t>
            </w:r>
            <w:r>
              <w:rPr>
                <w:sz w:val="20"/>
                <w:szCs w:val="20"/>
              </w:rPr>
              <w:t xml:space="preserve"> change of the bond specific</w:t>
            </w:r>
            <w:r w:rsidRPr="00724F7E">
              <w:rPr>
                <w:sz w:val="20"/>
                <w:szCs w:val="20"/>
              </w:rPr>
              <w:t xml:space="preserve"> </w:t>
            </w:r>
            <w:r>
              <w:rPr>
                <w:sz w:val="20"/>
                <w:szCs w:val="20"/>
              </w:rPr>
              <w:t>proportional bid-ask spread, and RECB is the return  of the 3 month ECB rate</w:t>
            </w:r>
            <w:r w:rsidRPr="00724F7E">
              <w:rPr>
                <w:sz w:val="20"/>
                <w:szCs w:val="20"/>
              </w:rPr>
              <w:t xml:space="preserve">. </w:t>
            </w:r>
            <w:r w:rsidR="0025269F">
              <w:rPr>
                <w:sz w:val="20"/>
                <w:szCs w:val="20"/>
              </w:rPr>
              <w:t xml:space="preserve">We employ daily observations. </w:t>
            </w:r>
            <w:r w:rsidR="00A11843">
              <w:rPr>
                <w:sz w:val="20"/>
                <w:szCs w:val="20"/>
              </w:rPr>
              <w:t>For each sub-period,</w:t>
            </w:r>
            <w:r w:rsidR="00A11843" w:rsidRPr="00724F7E">
              <w:rPr>
                <w:sz w:val="20"/>
                <w:szCs w:val="20"/>
              </w:rPr>
              <w:t xml:space="preserve"> </w:t>
            </w:r>
            <w:r w:rsidR="00A11843">
              <w:rPr>
                <w:sz w:val="20"/>
                <w:szCs w:val="20"/>
              </w:rPr>
              <w:t>r</w:t>
            </w:r>
            <w:r w:rsidR="00A11843" w:rsidRPr="00724F7E">
              <w:rPr>
                <w:sz w:val="20"/>
                <w:szCs w:val="20"/>
              </w:rPr>
              <w:t>egressions</w:t>
            </w:r>
            <w:r w:rsidRPr="00724F7E">
              <w:rPr>
                <w:sz w:val="20"/>
                <w:szCs w:val="20"/>
              </w:rPr>
              <w:t xml:space="preserve"> variables are winsorized at 1% - 99% taking into account all time-series observations </w:t>
            </w:r>
            <w:r>
              <w:rPr>
                <w:sz w:val="20"/>
                <w:szCs w:val="20"/>
              </w:rPr>
              <w:t xml:space="preserve">and demeaned at the bond level. </w:t>
            </w:r>
            <w:r>
              <w:rPr>
                <w:rFonts w:ascii="Calibri" w:hAnsi="Calibri"/>
                <w:color w:val="000000"/>
                <w:sz w:val="20"/>
                <w:szCs w:val="20"/>
              </w:rPr>
              <w:t>Sub-periods are 01 Apr 2003 to 31 Aug 2007 for the pre-crisis period, 01 Sep 2007 and 31 Dec 2009 for the subprime crisis period and the sovereign crisis period is split into two parts, 01 Jan 2010 to 30 Dec 2011 and between 01 Jan 201</w:t>
            </w:r>
            <w:r w:rsidR="00661E8C">
              <w:rPr>
                <w:rFonts w:ascii="Calibri" w:hAnsi="Calibri"/>
                <w:color w:val="000000"/>
                <w:sz w:val="20"/>
                <w:szCs w:val="20"/>
              </w:rPr>
              <w:t>2</w:t>
            </w:r>
            <w:r>
              <w:rPr>
                <w:rFonts w:ascii="Calibri" w:hAnsi="Calibri"/>
                <w:color w:val="000000"/>
                <w:sz w:val="20"/>
                <w:szCs w:val="20"/>
              </w:rPr>
              <w:t xml:space="preserve"> to 31 Dec 2013, respectively. </w:t>
            </w:r>
            <w:r w:rsidRPr="00724F7E">
              <w:rPr>
                <w:sz w:val="20"/>
                <w:szCs w:val="20"/>
              </w:rPr>
              <w:t xml:space="preserve">White cross-section standard errors &amp; covariance are used. </w:t>
            </w:r>
            <w:r w:rsidRPr="00724F7E">
              <w:rPr>
                <w:rFonts w:ascii="Cambria Math" w:hAnsi="Cambria Math" w:cs="Cambria Math"/>
                <w:sz w:val="20"/>
                <w:szCs w:val="20"/>
              </w:rPr>
              <w:t>∗∗∗</w:t>
            </w:r>
            <w:r w:rsidRPr="00724F7E">
              <w:rPr>
                <w:sz w:val="20"/>
                <w:szCs w:val="20"/>
              </w:rPr>
              <w:t xml:space="preserve">, </w:t>
            </w:r>
            <w:r w:rsidRPr="00724F7E">
              <w:rPr>
                <w:rFonts w:ascii="Cambria Math" w:hAnsi="Cambria Math" w:cs="Cambria Math"/>
                <w:sz w:val="20"/>
                <w:szCs w:val="20"/>
              </w:rPr>
              <w:t>∗∗</w:t>
            </w:r>
            <w:r w:rsidRPr="00724F7E">
              <w:rPr>
                <w:sz w:val="20"/>
                <w:szCs w:val="20"/>
              </w:rPr>
              <w:t xml:space="preserve">, and </w:t>
            </w:r>
            <w:r w:rsidRPr="00724F7E">
              <w:rPr>
                <w:rFonts w:ascii="Cambria Math" w:hAnsi="Cambria Math" w:cs="Cambria Math"/>
                <w:sz w:val="20"/>
                <w:szCs w:val="20"/>
              </w:rPr>
              <w:t>∗</w:t>
            </w:r>
            <w:r w:rsidRPr="00724F7E">
              <w:rPr>
                <w:sz w:val="20"/>
                <w:szCs w:val="20"/>
              </w:rPr>
              <w:t xml:space="preserve"> represent statistical significance at the 1%, 5</w:t>
            </w:r>
            <w:r>
              <w:rPr>
                <w:sz w:val="20"/>
                <w:szCs w:val="20"/>
              </w:rPr>
              <w:t>%, and 10% level, respectively. Adjusted-R</w:t>
            </w:r>
            <w:r w:rsidRPr="000373B6">
              <w:rPr>
                <w:sz w:val="20"/>
                <w:szCs w:val="20"/>
                <w:vertAlign w:val="superscript"/>
              </w:rPr>
              <w:t>2</w:t>
            </w:r>
            <w:r>
              <w:rPr>
                <w:sz w:val="20"/>
                <w:szCs w:val="20"/>
              </w:rPr>
              <w:t xml:space="preserve">s are presented below each coefficient. </w:t>
            </w:r>
            <w:r w:rsidRPr="00724F7E">
              <w:rPr>
                <w:sz w:val="20"/>
                <w:szCs w:val="20"/>
              </w:rPr>
              <w:t xml:space="preserve">For brevity, </w:t>
            </w:r>
            <w:r>
              <w:rPr>
                <w:sz w:val="20"/>
                <w:szCs w:val="20"/>
              </w:rPr>
              <w:t xml:space="preserve">the </w:t>
            </w:r>
            <w:r w:rsidRPr="00724F7E">
              <w:rPr>
                <w:sz w:val="20"/>
                <w:szCs w:val="20"/>
              </w:rPr>
              <w:t>coefficients</w:t>
            </w:r>
            <w:r>
              <w:rPr>
                <w:sz w:val="20"/>
                <w:szCs w:val="20"/>
              </w:rPr>
              <w:t xml:space="preserve"> for the constant </w:t>
            </w:r>
            <w:r w:rsidRPr="00724F7E">
              <w:rPr>
                <w:sz w:val="20"/>
                <w:szCs w:val="20"/>
              </w:rPr>
              <w:t>are not reported.</w:t>
            </w:r>
            <w:r>
              <w:rPr>
                <w:sz w:val="20"/>
                <w:szCs w:val="20"/>
              </w:rPr>
              <w:t xml:space="preserve"> </w:t>
            </w:r>
          </w:p>
        </w:tc>
      </w:tr>
      <w:tr w:rsidR="00A10954" w:rsidRPr="00724F7E" w:rsidTr="00CB3BD3">
        <w:trPr>
          <w:trHeight w:val="20"/>
          <w:jc w:val="center"/>
        </w:trPr>
        <w:tc>
          <w:tcPr>
            <w:tcW w:w="1247" w:type="dxa"/>
            <w:tcBorders>
              <w:top w:val="single" w:sz="4" w:space="0" w:color="auto"/>
            </w:tcBorders>
            <w:vAlign w:val="center"/>
          </w:tcPr>
          <w:p w:rsidR="00A10954" w:rsidRPr="00724F7E" w:rsidRDefault="00A10954" w:rsidP="00CB3BD3">
            <w:pPr>
              <w:jc w:val="center"/>
              <w:rPr>
                <w:sz w:val="20"/>
                <w:szCs w:val="20"/>
              </w:rPr>
            </w:pPr>
          </w:p>
        </w:tc>
        <w:tc>
          <w:tcPr>
            <w:tcW w:w="236" w:type="dxa"/>
            <w:tcBorders>
              <w:top w:val="single" w:sz="4" w:space="0" w:color="auto"/>
            </w:tcBorders>
            <w:vAlign w:val="center"/>
          </w:tcPr>
          <w:p w:rsidR="00A10954" w:rsidRPr="00724F7E" w:rsidRDefault="00A10954" w:rsidP="00CB3BD3">
            <w:pPr>
              <w:jc w:val="center"/>
              <w:rPr>
                <w:sz w:val="20"/>
                <w:szCs w:val="20"/>
              </w:rPr>
            </w:pPr>
          </w:p>
        </w:tc>
        <w:tc>
          <w:tcPr>
            <w:tcW w:w="1361" w:type="dxa"/>
            <w:tcBorders>
              <w:top w:val="single" w:sz="4" w:space="0" w:color="auto"/>
              <w:bottom w:val="single" w:sz="4" w:space="0" w:color="auto"/>
            </w:tcBorders>
            <w:vAlign w:val="center"/>
          </w:tcPr>
          <w:p w:rsidR="00A10954" w:rsidRPr="00724F7E" w:rsidRDefault="00A10954" w:rsidP="00CB3BD3">
            <w:pPr>
              <w:jc w:val="center"/>
              <w:rPr>
                <w:sz w:val="20"/>
                <w:szCs w:val="20"/>
              </w:rPr>
            </w:pPr>
            <w:r w:rsidRPr="00724F7E">
              <w:rPr>
                <w:sz w:val="20"/>
                <w:szCs w:val="20"/>
              </w:rPr>
              <w:t>Pre-crisis period</w:t>
            </w:r>
          </w:p>
        </w:tc>
        <w:tc>
          <w:tcPr>
            <w:tcW w:w="236" w:type="dxa"/>
            <w:tcBorders>
              <w:top w:val="single" w:sz="4" w:space="0" w:color="auto"/>
            </w:tcBorders>
            <w:vAlign w:val="center"/>
          </w:tcPr>
          <w:p w:rsidR="00A10954" w:rsidRPr="00724F7E" w:rsidRDefault="00A10954" w:rsidP="00CB3BD3">
            <w:pPr>
              <w:jc w:val="center"/>
              <w:rPr>
                <w:sz w:val="20"/>
                <w:szCs w:val="20"/>
              </w:rPr>
            </w:pPr>
          </w:p>
        </w:tc>
        <w:tc>
          <w:tcPr>
            <w:tcW w:w="1361" w:type="dxa"/>
            <w:tcBorders>
              <w:top w:val="single" w:sz="4" w:space="0" w:color="auto"/>
              <w:bottom w:val="single" w:sz="4" w:space="0" w:color="auto"/>
            </w:tcBorders>
            <w:vAlign w:val="center"/>
          </w:tcPr>
          <w:p w:rsidR="00A10954" w:rsidRPr="00724F7E" w:rsidRDefault="00A10954" w:rsidP="00CB3BD3">
            <w:pPr>
              <w:jc w:val="center"/>
              <w:rPr>
                <w:sz w:val="20"/>
                <w:szCs w:val="20"/>
              </w:rPr>
            </w:pPr>
            <w:r w:rsidRPr="00724F7E">
              <w:rPr>
                <w:sz w:val="20"/>
                <w:szCs w:val="20"/>
              </w:rPr>
              <w:t>Subprime crisis period</w:t>
            </w:r>
          </w:p>
        </w:tc>
        <w:tc>
          <w:tcPr>
            <w:tcW w:w="236" w:type="dxa"/>
            <w:tcBorders>
              <w:top w:val="single" w:sz="4" w:space="0" w:color="auto"/>
            </w:tcBorders>
            <w:vAlign w:val="center"/>
          </w:tcPr>
          <w:p w:rsidR="00A10954" w:rsidRPr="00724F7E" w:rsidRDefault="00A10954" w:rsidP="00CB3BD3">
            <w:pPr>
              <w:jc w:val="center"/>
              <w:rPr>
                <w:sz w:val="20"/>
                <w:szCs w:val="20"/>
              </w:rPr>
            </w:pPr>
          </w:p>
        </w:tc>
        <w:tc>
          <w:tcPr>
            <w:tcW w:w="1361" w:type="dxa"/>
            <w:tcBorders>
              <w:top w:val="single" w:sz="4" w:space="0" w:color="auto"/>
              <w:bottom w:val="single" w:sz="4" w:space="0" w:color="auto"/>
            </w:tcBorders>
            <w:vAlign w:val="center"/>
          </w:tcPr>
          <w:p w:rsidR="00A10954" w:rsidRPr="00724F7E" w:rsidRDefault="00A10954" w:rsidP="00CB3BD3">
            <w:pPr>
              <w:jc w:val="center"/>
              <w:rPr>
                <w:sz w:val="20"/>
                <w:szCs w:val="20"/>
              </w:rPr>
            </w:pPr>
            <w:r w:rsidRPr="00724F7E">
              <w:rPr>
                <w:sz w:val="20"/>
                <w:szCs w:val="20"/>
              </w:rPr>
              <w:t>Sovereign crisis period</w:t>
            </w:r>
            <w:r>
              <w:rPr>
                <w:sz w:val="20"/>
                <w:szCs w:val="20"/>
              </w:rPr>
              <w:t xml:space="preserve"> I</w:t>
            </w:r>
          </w:p>
        </w:tc>
        <w:tc>
          <w:tcPr>
            <w:tcW w:w="236" w:type="dxa"/>
            <w:tcBorders>
              <w:top w:val="single" w:sz="4" w:space="0" w:color="auto"/>
            </w:tcBorders>
            <w:vAlign w:val="center"/>
          </w:tcPr>
          <w:p w:rsidR="00A10954" w:rsidRPr="00724F7E" w:rsidRDefault="00A10954" w:rsidP="00CB3BD3">
            <w:pPr>
              <w:jc w:val="center"/>
              <w:rPr>
                <w:sz w:val="20"/>
                <w:szCs w:val="20"/>
              </w:rPr>
            </w:pPr>
          </w:p>
        </w:tc>
        <w:tc>
          <w:tcPr>
            <w:tcW w:w="1361" w:type="dxa"/>
            <w:tcBorders>
              <w:top w:val="single" w:sz="4" w:space="0" w:color="auto"/>
              <w:bottom w:val="single" w:sz="4" w:space="0" w:color="auto"/>
            </w:tcBorders>
            <w:vAlign w:val="center"/>
          </w:tcPr>
          <w:p w:rsidR="00A10954" w:rsidRPr="00724F7E" w:rsidRDefault="00A10954" w:rsidP="00CB3BD3">
            <w:pPr>
              <w:jc w:val="center"/>
              <w:rPr>
                <w:sz w:val="20"/>
                <w:szCs w:val="20"/>
              </w:rPr>
            </w:pPr>
            <w:r w:rsidRPr="00724F7E">
              <w:rPr>
                <w:sz w:val="20"/>
                <w:szCs w:val="20"/>
              </w:rPr>
              <w:t>Sovereign crisis period</w:t>
            </w:r>
            <w:r>
              <w:rPr>
                <w:sz w:val="20"/>
                <w:szCs w:val="20"/>
              </w:rPr>
              <w:t xml:space="preserve"> II</w:t>
            </w:r>
          </w:p>
        </w:tc>
      </w:tr>
      <w:tr w:rsidR="006B67F6" w:rsidRPr="00724F7E" w:rsidTr="00CB3BD3">
        <w:trPr>
          <w:trHeight w:val="254"/>
          <w:jc w:val="center"/>
        </w:trPr>
        <w:tc>
          <w:tcPr>
            <w:tcW w:w="1247" w:type="dxa"/>
            <w:vMerge w:val="restart"/>
            <w:vAlign w:val="center"/>
          </w:tcPr>
          <w:p w:rsidR="006B67F6" w:rsidRDefault="006B67F6" w:rsidP="00CB3BD3">
            <w:pPr>
              <w:rPr>
                <w:rFonts w:ascii="Calibri" w:hAnsi="Calibri"/>
                <w:color w:val="000000"/>
                <w:sz w:val="20"/>
                <w:szCs w:val="20"/>
              </w:rPr>
            </w:pPr>
            <w:r>
              <w:rPr>
                <w:rFonts w:ascii="Calibri" w:hAnsi="Calibri"/>
                <w:color w:val="000000"/>
                <w:sz w:val="20"/>
                <w:szCs w:val="20"/>
              </w:rPr>
              <w:t>Germany</w:t>
            </w:r>
          </w:p>
        </w:tc>
        <w:tc>
          <w:tcPr>
            <w:tcW w:w="236" w:type="dxa"/>
          </w:tcPr>
          <w:p w:rsidR="006B67F6" w:rsidRPr="00724F7E" w:rsidRDefault="006B67F6" w:rsidP="00CB3BD3">
            <w:pPr>
              <w:jc w:val="center"/>
              <w:rPr>
                <w:sz w:val="20"/>
                <w:szCs w:val="20"/>
              </w:rPr>
            </w:pPr>
          </w:p>
        </w:tc>
        <w:tc>
          <w:tcPr>
            <w:tcW w:w="1361" w:type="dxa"/>
            <w:vAlign w:val="center"/>
          </w:tcPr>
          <w:p w:rsidR="006B67F6" w:rsidRDefault="006B67F6">
            <w:pPr>
              <w:rPr>
                <w:rFonts w:ascii="Calibri" w:hAnsi="Calibri"/>
                <w:color w:val="000000"/>
              </w:rPr>
            </w:pPr>
            <w:r>
              <w:rPr>
                <w:rFonts w:ascii="Calibri" w:hAnsi="Calibri"/>
                <w:color w:val="000000"/>
              </w:rPr>
              <w:t>-0.996</w:t>
            </w:r>
          </w:p>
        </w:tc>
        <w:tc>
          <w:tcPr>
            <w:tcW w:w="236" w:type="dxa"/>
            <w:vAlign w:val="center"/>
          </w:tcPr>
          <w:p w:rsidR="006B67F6" w:rsidRDefault="006B67F6">
            <w:pPr>
              <w:rPr>
                <w:rFonts w:ascii="Calibri" w:hAnsi="Calibri"/>
                <w:color w:val="000000"/>
              </w:rPr>
            </w:pPr>
          </w:p>
        </w:tc>
        <w:tc>
          <w:tcPr>
            <w:tcW w:w="1361" w:type="dxa"/>
            <w:vAlign w:val="center"/>
          </w:tcPr>
          <w:p w:rsidR="006B67F6" w:rsidRDefault="006B67F6">
            <w:pPr>
              <w:rPr>
                <w:rFonts w:ascii="Calibri" w:hAnsi="Calibri"/>
                <w:color w:val="000000"/>
              </w:rPr>
            </w:pPr>
            <w:r>
              <w:rPr>
                <w:rFonts w:ascii="Calibri" w:hAnsi="Calibri"/>
                <w:color w:val="000000"/>
              </w:rPr>
              <w:t>0.076</w:t>
            </w:r>
          </w:p>
        </w:tc>
        <w:tc>
          <w:tcPr>
            <w:tcW w:w="236" w:type="dxa"/>
            <w:vAlign w:val="center"/>
          </w:tcPr>
          <w:p w:rsidR="006B67F6" w:rsidRDefault="006B67F6">
            <w:pPr>
              <w:rPr>
                <w:rFonts w:ascii="Calibri" w:hAnsi="Calibri"/>
                <w:color w:val="000000"/>
              </w:rPr>
            </w:pPr>
          </w:p>
        </w:tc>
        <w:tc>
          <w:tcPr>
            <w:tcW w:w="1361" w:type="dxa"/>
            <w:vAlign w:val="center"/>
          </w:tcPr>
          <w:p w:rsidR="006B67F6" w:rsidRDefault="006B67F6">
            <w:pPr>
              <w:rPr>
                <w:rFonts w:ascii="Calibri" w:hAnsi="Calibri"/>
                <w:color w:val="000000"/>
              </w:rPr>
            </w:pPr>
            <w:r>
              <w:rPr>
                <w:rFonts w:ascii="Calibri" w:hAnsi="Calibri"/>
                <w:color w:val="000000"/>
              </w:rPr>
              <w:t>-0.349</w:t>
            </w:r>
          </w:p>
        </w:tc>
        <w:tc>
          <w:tcPr>
            <w:tcW w:w="236" w:type="dxa"/>
            <w:vAlign w:val="center"/>
          </w:tcPr>
          <w:p w:rsidR="006B67F6" w:rsidRDefault="006B67F6">
            <w:pPr>
              <w:rPr>
                <w:rFonts w:ascii="Calibri" w:hAnsi="Calibri"/>
                <w:color w:val="000000"/>
              </w:rPr>
            </w:pPr>
          </w:p>
        </w:tc>
        <w:tc>
          <w:tcPr>
            <w:tcW w:w="1361" w:type="dxa"/>
            <w:vAlign w:val="center"/>
          </w:tcPr>
          <w:p w:rsidR="006B67F6" w:rsidRDefault="006B67F6">
            <w:pPr>
              <w:rPr>
                <w:rFonts w:ascii="Calibri" w:hAnsi="Calibri"/>
                <w:color w:val="000000"/>
              </w:rPr>
            </w:pPr>
            <w:r>
              <w:rPr>
                <w:rFonts w:ascii="Calibri" w:hAnsi="Calibri"/>
                <w:color w:val="000000"/>
              </w:rPr>
              <w:t>0.060</w:t>
            </w:r>
          </w:p>
        </w:tc>
      </w:tr>
      <w:tr w:rsidR="006B67F6" w:rsidRPr="00724F7E" w:rsidTr="00CB3BD3">
        <w:trPr>
          <w:trHeight w:val="254"/>
          <w:jc w:val="center"/>
        </w:trPr>
        <w:tc>
          <w:tcPr>
            <w:tcW w:w="1247" w:type="dxa"/>
            <w:vMerge/>
            <w:vAlign w:val="center"/>
          </w:tcPr>
          <w:p w:rsidR="006B67F6" w:rsidRDefault="006B67F6" w:rsidP="00CB3BD3">
            <w:pPr>
              <w:rPr>
                <w:rFonts w:ascii="Calibri" w:hAnsi="Calibri"/>
                <w:color w:val="000000"/>
                <w:sz w:val="20"/>
                <w:szCs w:val="20"/>
              </w:rPr>
            </w:pPr>
          </w:p>
        </w:tc>
        <w:tc>
          <w:tcPr>
            <w:tcW w:w="236" w:type="dxa"/>
          </w:tcPr>
          <w:p w:rsidR="006B67F6" w:rsidRPr="00724F7E" w:rsidRDefault="006B67F6" w:rsidP="00CB3BD3">
            <w:pPr>
              <w:jc w:val="center"/>
              <w:rPr>
                <w:sz w:val="20"/>
                <w:szCs w:val="20"/>
              </w:rPr>
            </w:pPr>
          </w:p>
        </w:tc>
        <w:tc>
          <w:tcPr>
            <w:tcW w:w="1361" w:type="dxa"/>
            <w:vAlign w:val="center"/>
          </w:tcPr>
          <w:p w:rsidR="006B67F6" w:rsidRDefault="006B67F6">
            <w:pPr>
              <w:jc w:val="right"/>
              <w:rPr>
                <w:rFonts w:ascii="Calibri" w:hAnsi="Calibri"/>
                <w:color w:val="000000"/>
                <w:sz w:val="18"/>
                <w:szCs w:val="18"/>
              </w:rPr>
            </w:pPr>
            <w:r>
              <w:rPr>
                <w:rFonts w:ascii="Calibri" w:hAnsi="Calibri"/>
                <w:color w:val="000000"/>
                <w:sz w:val="18"/>
                <w:szCs w:val="18"/>
              </w:rPr>
              <w:t>0.03%</w:t>
            </w:r>
          </w:p>
        </w:tc>
        <w:tc>
          <w:tcPr>
            <w:tcW w:w="236" w:type="dxa"/>
            <w:vAlign w:val="center"/>
          </w:tcPr>
          <w:p w:rsidR="006B67F6" w:rsidRDefault="006B67F6">
            <w:pPr>
              <w:jc w:val="right"/>
              <w:rPr>
                <w:rFonts w:ascii="Calibri" w:hAnsi="Calibri"/>
                <w:color w:val="000000"/>
                <w:sz w:val="18"/>
                <w:szCs w:val="18"/>
              </w:rPr>
            </w:pPr>
          </w:p>
        </w:tc>
        <w:tc>
          <w:tcPr>
            <w:tcW w:w="1361" w:type="dxa"/>
            <w:vAlign w:val="center"/>
          </w:tcPr>
          <w:p w:rsidR="006B67F6" w:rsidRDefault="006B67F6">
            <w:pPr>
              <w:jc w:val="right"/>
              <w:rPr>
                <w:rFonts w:ascii="Calibri" w:hAnsi="Calibri"/>
                <w:color w:val="000000"/>
                <w:sz w:val="18"/>
                <w:szCs w:val="18"/>
              </w:rPr>
            </w:pPr>
            <w:r>
              <w:rPr>
                <w:rFonts w:ascii="Calibri" w:hAnsi="Calibri"/>
                <w:color w:val="000000"/>
                <w:sz w:val="18"/>
                <w:szCs w:val="18"/>
              </w:rPr>
              <w:t>0.00%</w:t>
            </w:r>
          </w:p>
        </w:tc>
        <w:tc>
          <w:tcPr>
            <w:tcW w:w="236" w:type="dxa"/>
            <w:vAlign w:val="center"/>
          </w:tcPr>
          <w:p w:rsidR="006B67F6" w:rsidRDefault="006B67F6">
            <w:pPr>
              <w:jc w:val="right"/>
              <w:rPr>
                <w:rFonts w:ascii="Calibri" w:hAnsi="Calibri"/>
                <w:color w:val="000000"/>
                <w:sz w:val="18"/>
                <w:szCs w:val="18"/>
              </w:rPr>
            </w:pPr>
          </w:p>
        </w:tc>
        <w:tc>
          <w:tcPr>
            <w:tcW w:w="1361" w:type="dxa"/>
            <w:vAlign w:val="center"/>
          </w:tcPr>
          <w:p w:rsidR="006B67F6" w:rsidRDefault="006B67F6">
            <w:pPr>
              <w:jc w:val="right"/>
              <w:rPr>
                <w:rFonts w:ascii="Calibri" w:hAnsi="Calibri"/>
                <w:color w:val="000000"/>
                <w:sz w:val="18"/>
                <w:szCs w:val="18"/>
              </w:rPr>
            </w:pPr>
            <w:r>
              <w:rPr>
                <w:rFonts w:ascii="Calibri" w:hAnsi="Calibri"/>
                <w:color w:val="000000"/>
                <w:sz w:val="18"/>
                <w:szCs w:val="18"/>
              </w:rPr>
              <w:t>0.05%</w:t>
            </w:r>
          </w:p>
        </w:tc>
        <w:tc>
          <w:tcPr>
            <w:tcW w:w="236" w:type="dxa"/>
            <w:vAlign w:val="center"/>
          </w:tcPr>
          <w:p w:rsidR="006B67F6" w:rsidRDefault="006B67F6">
            <w:pPr>
              <w:jc w:val="right"/>
              <w:rPr>
                <w:rFonts w:ascii="Calibri" w:hAnsi="Calibri"/>
                <w:color w:val="000000"/>
                <w:sz w:val="18"/>
                <w:szCs w:val="18"/>
              </w:rPr>
            </w:pPr>
          </w:p>
        </w:tc>
        <w:tc>
          <w:tcPr>
            <w:tcW w:w="1361" w:type="dxa"/>
            <w:vAlign w:val="center"/>
          </w:tcPr>
          <w:p w:rsidR="006B67F6" w:rsidRDefault="006B67F6">
            <w:pPr>
              <w:jc w:val="right"/>
              <w:rPr>
                <w:rFonts w:ascii="Calibri" w:hAnsi="Calibri"/>
                <w:color w:val="000000"/>
                <w:sz w:val="18"/>
                <w:szCs w:val="18"/>
              </w:rPr>
            </w:pPr>
            <w:r>
              <w:rPr>
                <w:rFonts w:ascii="Calibri" w:hAnsi="Calibri"/>
                <w:color w:val="000000"/>
                <w:sz w:val="18"/>
                <w:szCs w:val="18"/>
              </w:rPr>
              <w:t>0.00%</w:t>
            </w:r>
          </w:p>
        </w:tc>
      </w:tr>
      <w:tr w:rsidR="006B67F6" w:rsidRPr="00724F7E" w:rsidTr="00CB3BD3">
        <w:trPr>
          <w:trHeight w:val="254"/>
          <w:jc w:val="center"/>
        </w:trPr>
        <w:tc>
          <w:tcPr>
            <w:tcW w:w="1247" w:type="dxa"/>
            <w:vMerge w:val="restart"/>
            <w:vAlign w:val="center"/>
          </w:tcPr>
          <w:p w:rsidR="006B67F6" w:rsidRDefault="006B67F6" w:rsidP="00CB3BD3">
            <w:pPr>
              <w:rPr>
                <w:rFonts w:ascii="Calibri" w:hAnsi="Calibri"/>
                <w:color w:val="000000"/>
                <w:sz w:val="20"/>
                <w:szCs w:val="20"/>
              </w:rPr>
            </w:pPr>
            <w:r>
              <w:rPr>
                <w:rFonts w:ascii="Calibri" w:hAnsi="Calibri"/>
                <w:color w:val="000000"/>
                <w:sz w:val="20"/>
                <w:szCs w:val="20"/>
              </w:rPr>
              <w:t>Netherlands</w:t>
            </w:r>
          </w:p>
        </w:tc>
        <w:tc>
          <w:tcPr>
            <w:tcW w:w="236" w:type="dxa"/>
          </w:tcPr>
          <w:p w:rsidR="006B67F6" w:rsidRPr="00724F7E" w:rsidRDefault="006B67F6" w:rsidP="00CB3BD3">
            <w:pPr>
              <w:jc w:val="center"/>
              <w:rPr>
                <w:sz w:val="20"/>
                <w:szCs w:val="20"/>
              </w:rPr>
            </w:pPr>
          </w:p>
        </w:tc>
        <w:tc>
          <w:tcPr>
            <w:tcW w:w="1361" w:type="dxa"/>
            <w:vAlign w:val="center"/>
          </w:tcPr>
          <w:p w:rsidR="006B67F6" w:rsidRDefault="006B67F6">
            <w:pPr>
              <w:rPr>
                <w:rFonts w:ascii="Calibri" w:hAnsi="Calibri"/>
                <w:color w:val="000000"/>
              </w:rPr>
            </w:pPr>
            <w:r>
              <w:rPr>
                <w:rFonts w:ascii="Calibri" w:hAnsi="Calibri"/>
                <w:color w:val="000000"/>
              </w:rPr>
              <w:t>-0.215</w:t>
            </w:r>
          </w:p>
        </w:tc>
        <w:tc>
          <w:tcPr>
            <w:tcW w:w="236" w:type="dxa"/>
            <w:vAlign w:val="center"/>
          </w:tcPr>
          <w:p w:rsidR="006B67F6" w:rsidRDefault="006B67F6">
            <w:pPr>
              <w:rPr>
                <w:rFonts w:ascii="Calibri" w:hAnsi="Calibri"/>
                <w:color w:val="000000"/>
              </w:rPr>
            </w:pPr>
          </w:p>
        </w:tc>
        <w:tc>
          <w:tcPr>
            <w:tcW w:w="1361" w:type="dxa"/>
            <w:vAlign w:val="center"/>
          </w:tcPr>
          <w:p w:rsidR="006B67F6" w:rsidRDefault="006B67F6">
            <w:pPr>
              <w:rPr>
                <w:rFonts w:ascii="Calibri" w:hAnsi="Calibri"/>
                <w:color w:val="000000"/>
              </w:rPr>
            </w:pPr>
            <w:r>
              <w:rPr>
                <w:rFonts w:ascii="Calibri" w:hAnsi="Calibri"/>
                <w:color w:val="000000"/>
              </w:rPr>
              <w:t>-0.195</w:t>
            </w:r>
          </w:p>
        </w:tc>
        <w:tc>
          <w:tcPr>
            <w:tcW w:w="236" w:type="dxa"/>
            <w:vAlign w:val="center"/>
          </w:tcPr>
          <w:p w:rsidR="006B67F6" w:rsidRDefault="006B67F6">
            <w:pPr>
              <w:rPr>
                <w:rFonts w:ascii="Calibri" w:hAnsi="Calibri"/>
                <w:color w:val="000000"/>
              </w:rPr>
            </w:pPr>
          </w:p>
        </w:tc>
        <w:tc>
          <w:tcPr>
            <w:tcW w:w="1361" w:type="dxa"/>
            <w:vAlign w:val="center"/>
          </w:tcPr>
          <w:p w:rsidR="006B67F6" w:rsidRDefault="006B67F6">
            <w:pPr>
              <w:rPr>
                <w:rFonts w:ascii="Calibri" w:hAnsi="Calibri"/>
                <w:color w:val="000000"/>
              </w:rPr>
            </w:pPr>
            <w:r>
              <w:rPr>
                <w:rFonts w:ascii="Calibri" w:hAnsi="Calibri"/>
                <w:color w:val="000000"/>
              </w:rPr>
              <w:t>0.411</w:t>
            </w:r>
          </w:p>
        </w:tc>
        <w:tc>
          <w:tcPr>
            <w:tcW w:w="236" w:type="dxa"/>
            <w:vAlign w:val="center"/>
          </w:tcPr>
          <w:p w:rsidR="006B67F6" w:rsidRDefault="006B67F6">
            <w:pPr>
              <w:rPr>
                <w:rFonts w:ascii="Calibri" w:hAnsi="Calibri"/>
                <w:color w:val="000000"/>
              </w:rPr>
            </w:pPr>
          </w:p>
        </w:tc>
        <w:tc>
          <w:tcPr>
            <w:tcW w:w="1361" w:type="dxa"/>
            <w:vAlign w:val="center"/>
          </w:tcPr>
          <w:p w:rsidR="006B67F6" w:rsidRDefault="006B67F6">
            <w:pPr>
              <w:rPr>
                <w:rFonts w:ascii="Calibri" w:hAnsi="Calibri"/>
                <w:color w:val="000000"/>
              </w:rPr>
            </w:pPr>
            <w:r>
              <w:rPr>
                <w:rFonts w:ascii="Calibri" w:hAnsi="Calibri"/>
                <w:color w:val="000000"/>
              </w:rPr>
              <w:t>0.327</w:t>
            </w:r>
          </w:p>
        </w:tc>
      </w:tr>
      <w:tr w:rsidR="006B67F6" w:rsidRPr="00724F7E" w:rsidTr="00CB3BD3">
        <w:trPr>
          <w:trHeight w:val="254"/>
          <w:jc w:val="center"/>
        </w:trPr>
        <w:tc>
          <w:tcPr>
            <w:tcW w:w="1247" w:type="dxa"/>
            <w:vMerge/>
            <w:vAlign w:val="center"/>
          </w:tcPr>
          <w:p w:rsidR="006B67F6" w:rsidRDefault="006B67F6" w:rsidP="00CB3BD3">
            <w:pPr>
              <w:rPr>
                <w:rFonts w:ascii="Calibri" w:hAnsi="Calibri"/>
                <w:color w:val="000000"/>
                <w:sz w:val="20"/>
                <w:szCs w:val="20"/>
              </w:rPr>
            </w:pPr>
          </w:p>
        </w:tc>
        <w:tc>
          <w:tcPr>
            <w:tcW w:w="236" w:type="dxa"/>
          </w:tcPr>
          <w:p w:rsidR="006B67F6" w:rsidRPr="00724F7E" w:rsidRDefault="006B67F6" w:rsidP="00CB3BD3">
            <w:pPr>
              <w:jc w:val="center"/>
              <w:rPr>
                <w:sz w:val="20"/>
                <w:szCs w:val="20"/>
              </w:rPr>
            </w:pPr>
          </w:p>
        </w:tc>
        <w:tc>
          <w:tcPr>
            <w:tcW w:w="1361" w:type="dxa"/>
            <w:vAlign w:val="center"/>
          </w:tcPr>
          <w:p w:rsidR="006B67F6" w:rsidRDefault="006B67F6">
            <w:pPr>
              <w:jc w:val="right"/>
              <w:rPr>
                <w:rFonts w:ascii="Calibri" w:hAnsi="Calibri"/>
                <w:color w:val="000000"/>
                <w:sz w:val="18"/>
                <w:szCs w:val="18"/>
              </w:rPr>
            </w:pPr>
            <w:r>
              <w:rPr>
                <w:rFonts w:ascii="Calibri" w:hAnsi="Calibri"/>
                <w:color w:val="000000"/>
                <w:sz w:val="18"/>
                <w:szCs w:val="18"/>
              </w:rPr>
              <w:t>-0.01%</w:t>
            </w:r>
          </w:p>
        </w:tc>
        <w:tc>
          <w:tcPr>
            <w:tcW w:w="236" w:type="dxa"/>
            <w:vAlign w:val="center"/>
          </w:tcPr>
          <w:p w:rsidR="006B67F6" w:rsidRDefault="006B67F6">
            <w:pPr>
              <w:jc w:val="right"/>
              <w:rPr>
                <w:rFonts w:ascii="Calibri" w:hAnsi="Calibri"/>
                <w:color w:val="000000"/>
                <w:sz w:val="18"/>
                <w:szCs w:val="18"/>
              </w:rPr>
            </w:pPr>
          </w:p>
        </w:tc>
        <w:tc>
          <w:tcPr>
            <w:tcW w:w="1361" w:type="dxa"/>
            <w:vAlign w:val="center"/>
          </w:tcPr>
          <w:p w:rsidR="006B67F6" w:rsidRDefault="006B67F6">
            <w:pPr>
              <w:jc w:val="right"/>
              <w:rPr>
                <w:rFonts w:ascii="Calibri" w:hAnsi="Calibri"/>
                <w:color w:val="000000"/>
                <w:sz w:val="18"/>
                <w:szCs w:val="18"/>
              </w:rPr>
            </w:pPr>
            <w:r>
              <w:rPr>
                <w:rFonts w:ascii="Calibri" w:hAnsi="Calibri"/>
                <w:color w:val="000000"/>
                <w:sz w:val="18"/>
                <w:szCs w:val="18"/>
              </w:rPr>
              <w:t>0.04%</w:t>
            </w:r>
          </w:p>
        </w:tc>
        <w:tc>
          <w:tcPr>
            <w:tcW w:w="236" w:type="dxa"/>
            <w:vAlign w:val="center"/>
          </w:tcPr>
          <w:p w:rsidR="006B67F6" w:rsidRDefault="006B67F6">
            <w:pPr>
              <w:jc w:val="right"/>
              <w:rPr>
                <w:rFonts w:ascii="Calibri" w:hAnsi="Calibri"/>
                <w:color w:val="000000"/>
                <w:sz w:val="18"/>
                <w:szCs w:val="18"/>
              </w:rPr>
            </w:pPr>
          </w:p>
        </w:tc>
        <w:tc>
          <w:tcPr>
            <w:tcW w:w="1361" w:type="dxa"/>
            <w:vAlign w:val="center"/>
          </w:tcPr>
          <w:p w:rsidR="006B67F6" w:rsidRDefault="006B67F6">
            <w:pPr>
              <w:jc w:val="right"/>
              <w:rPr>
                <w:rFonts w:ascii="Calibri" w:hAnsi="Calibri"/>
                <w:color w:val="000000"/>
                <w:sz w:val="18"/>
                <w:szCs w:val="18"/>
              </w:rPr>
            </w:pPr>
            <w:r>
              <w:rPr>
                <w:rFonts w:ascii="Calibri" w:hAnsi="Calibri"/>
                <w:color w:val="000000"/>
                <w:sz w:val="18"/>
                <w:szCs w:val="18"/>
              </w:rPr>
              <w:t>0.17%</w:t>
            </w:r>
          </w:p>
        </w:tc>
        <w:tc>
          <w:tcPr>
            <w:tcW w:w="236" w:type="dxa"/>
            <w:vAlign w:val="center"/>
          </w:tcPr>
          <w:p w:rsidR="006B67F6" w:rsidRDefault="006B67F6">
            <w:pPr>
              <w:jc w:val="right"/>
              <w:rPr>
                <w:rFonts w:ascii="Calibri" w:hAnsi="Calibri"/>
                <w:color w:val="000000"/>
                <w:sz w:val="18"/>
                <w:szCs w:val="18"/>
              </w:rPr>
            </w:pPr>
          </w:p>
        </w:tc>
        <w:tc>
          <w:tcPr>
            <w:tcW w:w="1361" w:type="dxa"/>
            <w:vAlign w:val="center"/>
          </w:tcPr>
          <w:p w:rsidR="006B67F6" w:rsidRDefault="006B67F6">
            <w:pPr>
              <w:jc w:val="right"/>
              <w:rPr>
                <w:rFonts w:ascii="Calibri" w:hAnsi="Calibri"/>
                <w:color w:val="000000"/>
                <w:sz w:val="18"/>
                <w:szCs w:val="18"/>
              </w:rPr>
            </w:pPr>
            <w:r>
              <w:rPr>
                <w:rFonts w:ascii="Calibri" w:hAnsi="Calibri"/>
                <w:color w:val="000000"/>
                <w:sz w:val="18"/>
                <w:szCs w:val="18"/>
              </w:rPr>
              <w:t>0.06%</w:t>
            </w:r>
          </w:p>
        </w:tc>
      </w:tr>
      <w:tr w:rsidR="006B67F6" w:rsidRPr="00724F7E" w:rsidTr="00CB3BD3">
        <w:trPr>
          <w:trHeight w:val="254"/>
          <w:jc w:val="center"/>
        </w:trPr>
        <w:tc>
          <w:tcPr>
            <w:tcW w:w="1247" w:type="dxa"/>
            <w:vMerge w:val="restart"/>
            <w:vAlign w:val="center"/>
          </w:tcPr>
          <w:p w:rsidR="006B67F6" w:rsidRDefault="006B67F6" w:rsidP="00CB3BD3">
            <w:pPr>
              <w:rPr>
                <w:rFonts w:ascii="Calibri" w:hAnsi="Calibri"/>
                <w:color w:val="000000"/>
                <w:sz w:val="20"/>
                <w:szCs w:val="20"/>
              </w:rPr>
            </w:pPr>
            <w:r>
              <w:rPr>
                <w:rFonts w:ascii="Calibri" w:hAnsi="Calibri"/>
                <w:color w:val="000000"/>
                <w:sz w:val="20"/>
                <w:szCs w:val="20"/>
              </w:rPr>
              <w:t>Finland</w:t>
            </w:r>
          </w:p>
        </w:tc>
        <w:tc>
          <w:tcPr>
            <w:tcW w:w="236" w:type="dxa"/>
          </w:tcPr>
          <w:p w:rsidR="006B67F6" w:rsidRPr="00724F7E" w:rsidRDefault="006B67F6" w:rsidP="00CB3BD3">
            <w:pPr>
              <w:jc w:val="center"/>
              <w:rPr>
                <w:sz w:val="20"/>
                <w:szCs w:val="20"/>
              </w:rPr>
            </w:pPr>
          </w:p>
        </w:tc>
        <w:tc>
          <w:tcPr>
            <w:tcW w:w="1361" w:type="dxa"/>
            <w:vAlign w:val="center"/>
          </w:tcPr>
          <w:p w:rsidR="006B67F6" w:rsidRDefault="006B67F6">
            <w:pPr>
              <w:rPr>
                <w:rFonts w:ascii="Calibri" w:hAnsi="Calibri"/>
                <w:color w:val="000000"/>
              </w:rPr>
            </w:pPr>
            <w:r>
              <w:rPr>
                <w:rFonts w:ascii="Calibri" w:hAnsi="Calibri"/>
                <w:color w:val="000000"/>
              </w:rPr>
              <w:t>1.930</w:t>
            </w:r>
          </w:p>
        </w:tc>
        <w:tc>
          <w:tcPr>
            <w:tcW w:w="236" w:type="dxa"/>
            <w:vAlign w:val="center"/>
          </w:tcPr>
          <w:p w:rsidR="006B67F6" w:rsidRDefault="006B67F6">
            <w:pPr>
              <w:rPr>
                <w:rFonts w:ascii="Calibri" w:hAnsi="Calibri"/>
                <w:color w:val="000000"/>
              </w:rPr>
            </w:pPr>
          </w:p>
        </w:tc>
        <w:tc>
          <w:tcPr>
            <w:tcW w:w="1361" w:type="dxa"/>
            <w:vAlign w:val="center"/>
          </w:tcPr>
          <w:p w:rsidR="006B67F6" w:rsidRDefault="006B67F6">
            <w:pPr>
              <w:rPr>
                <w:rFonts w:ascii="Calibri" w:hAnsi="Calibri"/>
                <w:color w:val="000000"/>
              </w:rPr>
            </w:pPr>
            <w:r>
              <w:rPr>
                <w:rFonts w:ascii="Calibri" w:hAnsi="Calibri"/>
                <w:color w:val="000000"/>
              </w:rPr>
              <w:t>-0.070</w:t>
            </w:r>
          </w:p>
        </w:tc>
        <w:tc>
          <w:tcPr>
            <w:tcW w:w="236" w:type="dxa"/>
            <w:vAlign w:val="center"/>
          </w:tcPr>
          <w:p w:rsidR="006B67F6" w:rsidRDefault="006B67F6">
            <w:pPr>
              <w:rPr>
                <w:rFonts w:ascii="Calibri" w:hAnsi="Calibri"/>
                <w:color w:val="000000"/>
              </w:rPr>
            </w:pPr>
          </w:p>
        </w:tc>
        <w:tc>
          <w:tcPr>
            <w:tcW w:w="1361" w:type="dxa"/>
            <w:vAlign w:val="center"/>
          </w:tcPr>
          <w:p w:rsidR="006B67F6" w:rsidRDefault="006B67F6">
            <w:pPr>
              <w:rPr>
                <w:rFonts w:ascii="Calibri" w:hAnsi="Calibri"/>
                <w:color w:val="000000"/>
              </w:rPr>
            </w:pPr>
            <w:r>
              <w:rPr>
                <w:rFonts w:ascii="Calibri" w:hAnsi="Calibri"/>
                <w:color w:val="000000"/>
              </w:rPr>
              <w:t>0.300</w:t>
            </w:r>
          </w:p>
        </w:tc>
        <w:tc>
          <w:tcPr>
            <w:tcW w:w="236" w:type="dxa"/>
            <w:vAlign w:val="center"/>
          </w:tcPr>
          <w:p w:rsidR="006B67F6" w:rsidRDefault="006B67F6">
            <w:pPr>
              <w:rPr>
                <w:rFonts w:ascii="Calibri" w:hAnsi="Calibri"/>
                <w:color w:val="000000"/>
              </w:rPr>
            </w:pPr>
          </w:p>
        </w:tc>
        <w:tc>
          <w:tcPr>
            <w:tcW w:w="1361" w:type="dxa"/>
            <w:vAlign w:val="center"/>
          </w:tcPr>
          <w:p w:rsidR="006B67F6" w:rsidRDefault="006B67F6">
            <w:pPr>
              <w:rPr>
                <w:rFonts w:ascii="Calibri" w:hAnsi="Calibri"/>
                <w:color w:val="000000"/>
              </w:rPr>
            </w:pPr>
            <w:r>
              <w:rPr>
                <w:rFonts w:ascii="Calibri" w:hAnsi="Calibri"/>
                <w:color w:val="000000"/>
              </w:rPr>
              <w:t>-0.113</w:t>
            </w:r>
          </w:p>
        </w:tc>
      </w:tr>
      <w:tr w:rsidR="006B67F6" w:rsidRPr="00724F7E" w:rsidTr="00CB3BD3">
        <w:trPr>
          <w:trHeight w:val="254"/>
          <w:jc w:val="center"/>
        </w:trPr>
        <w:tc>
          <w:tcPr>
            <w:tcW w:w="1247" w:type="dxa"/>
            <w:vMerge/>
            <w:vAlign w:val="center"/>
          </w:tcPr>
          <w:p w:rsidR="006B67F6" w:rsidRDefault="006B67F6" w:rsidP="00CB3BD3">
            <w:pPr>
              <w:rPr>
                <w:rFonts w:ascii="Calibri" w:hAnsi="Calibri"/>
                <w:color w:val="000000"/>
                <w:sz w:val="20"/>
                <w:szCs w:val="20"/>
              </w:rPr>
            </w:pPr>
          </w:p>
        </w:tc>
        <w:tc>
          <w:tcPr>
            <w:tcW w:w="236" w:type="dxa"/>
          </w:tcPr>
          <w:p w:rsidR="006B67F6" w:rsidRPr="00724F7E" w:rsidRDefault="006B67F6" w:rsidP="00CB3BD3">
            <w:pPr>
              <w:jc w:val="center"/>
              <w:rPr>
                <w:sz w:val="20"/>
                <w:szCs w:val="20"/>
              </w:rPr>
            </w:pPr>
          </w:p>
        </w:tc>
        <w:tc>
          <w:tcPr>
            <w:tcW w:w="1361" w:type="dxa"/>
            <w:vAlign w:val="center"/>
          </w:tcPr>
          <w:p w:rsidR="006B67F6" w:rsidRDefault="006B67F6">
            <w:pPr>
              <w:jc w:val="right"/>
              <w:rPr>
                <w:rFonts w:ascii="Calibri" w:hAnsi="Calibri"/>
                <w:color w:val="000000"/>
                <w:sz w:val="18"/>
                <w:szCs w:val="18"/>
              </w:rPr>
            </w:pPr>
            <w:r>
              <w:rPr>
                <w:rFonts w:ascii="Calibri" w:hAnsi="Calibri"/>
                <w:color w:val="000000"/>
                <w:sz w:val="18"/>
                <w:szCs w:val="18"/>
              </w:rPr>
              <w:t>0.08%</w:t>
            </w:r>
          </w:p>
        </w:tc>
        <w:tc>
          <w:tcPr>
            <w:tcW w:w="236" w:type="dxa"/>
            <w:vAlign w:val="center"/>
          </w:tcPr>
          <w:p w:rsidR="006B67F6" w:rsidRDefault="006B67F6">
            <w:pPr>
              <w:jc w:val="right"/>
              <w:rPr>
                <w:rFonts w:ascii="Calibri" w:hAnsi="Calibri"/>
                <w:color w:val="000000"/>
                <w:sz w:val="18"/>
                <w:szCs w:val="18"/>
              </w:rPr>
            </w:pPr>
          </w:p>
        </w:tc>
        <w:tc>
          <w:tcPr>
            <w:tcW w:w="1361" w:type="dxa"/>
            <w:vAlign w:val="center"/>
          </w:tcPr>
          <w:p w:rsidR="006B67F6" w:rsidRDefault="006B67F6">
            <w:pPr>
              <w:jc w:val="right"/>
              <w:rPr>
                <w:rFonts w:ascii="Calibri" w:hAnsi="Calibri"/>
                <w:color w:val="000000"/>
                <w:sz w:val="18"/>
                <w:szCs w:val="18"/>
              </w:rPr>
            </w:pPr>
            <w:r>
              <w:rPr>
                <w:rFonts w:ascii="Calibri" w:hAnsi="Calibri"/>
                <w:color w:val="000000"/>
                <w:sz w:val="18"/>
                <w:szCs w:val="18"/>
              </w:rPr>
              <w:t>0.00%</w:t>
            </w:r>
          </w:p>
        </w:tc>
        <w:tc>
          <w:tcPr>
            <w:tcW w:w="236" w:type="dxa"/>
            <w:vAlign w:val="center"/>
          </w:tcPr>
          <w:p w:rsidR="006B67F6" w:rsidRDefault="006B67F6">
            <w:pPr>
              <w:jc w:val="right"/>
              <w:rPr>
                <w:rFonts w:ascii="Calibri" w:hAnsi="Calibri"/>
                <w:color w:val="000000"/>
                <w:sz w:val="18"/>
                <w:szCs w:val="18"/>
              </w:rPr>
            </w:pPr>
          </w:p>
        </w:tc>
        <w:tc>
          <w:tcPr>
            <w:tcW w:w="1361" w:type="dxa"/>
            <w:vAlign w:val="center"/>
          </w:tcPr>
          <w:p w:rsidR="006B67F6" w:rsidRDefault="006B67F6">
            <w:pPr>
              <w:jc w:val="right"/>
              <w:rPr>
                <w:rFonts w:ascii="Calibri" w:hAnsi="Calibri"/>
                <w:color w:val="000000"/>
                <w:sz w:val="18"/>
                <w:szCs w:val="18"/>
              </w:rPr>
            </w:pPr>
            <w:r>
              <w:rPr>
                <w:rFonts w:ascii="Calibri" w:hAnsi="Calibri"/>
                <w:color w:val="000000"/>
                <w:sz w:val="18"/>
                <w:szCs w:val="18"/>
              </w:rPr>
              <w:t>0.29%</w:t>
            </w:r>
          </w:p>
        </w:tc>
        <w:tc>
          <w:tcPr>
            <w:tcW w:w="236" w:type="dxa"/>
            <w:vAlign w:val="center"/>
          </w:tcPr>
          <w:p w:rsidR="006B67F6" w:rsidRDefault="006B67F6">
            <w:pPr>
              <w:jc w:val="right"/>
              <w:rPr>
                <w:rFonts w:ascii="Calibri" w:hAnsi="Calibri"/>
                <w:color w:val="000000"/>
                <w:sz w:val="18"/>
                <w:szCs w:val="18"/>
              </w:rPr>
            </w:pPr>
          </w:p>
        </w:tc>
        <w:tc>
          <w:tcPr>
            <w:tcW w:w="1361" w:type="dxa"/>
            <w:vAlign w:val="center"/>
          </w:tcPr>
          <w:p w:rsidR="006B67F6" w:rsidRDefault="006B67F6">
            <w:pPr>
              <w:jc w:val="right"/>
              <w:rPr>
                <w:rFonts w:ascii="Calibri" w:hAnsi="Calibri"/>
                <w:color w:val="000000"/>
                <w:sz w:val="18"/>
                <w:szCs w:val="18"/>
              </w:rPr>
            </w:pPr>
            <w:r>
              <w:rPr>
                <w:rFonts w:ascii="Calibri" w:hAnsi="Calibri"/>
                <w:color w:val="000000"/>
                <w:sz w:val="18"/>
                <w:szCs w:val="18"/>
              </w:rPr>
              <w:t>-0.01%</w:t>
            </w:r>
          </w:p>
        </w:tc>
      </w:tr>
      <w:tr w:rsidR="006B67F6" w:rsidRPr="00724F7E" w:rsidTr="00CB3BD3">
        <w:trPr>
          <w:trHeight w:val="254"/>
          <w:jc w:val="center"/>
        </w:trPr>
        <w:tc>
          <w:tcPr>
            <w:tcW w:w="1247" w:type="dxa"/>
            <w:vMerge w:val="restart"/>
            <w:vAlign w:val="center"/>
          </w:tcPr>
          <w:p w:rsidR="006B67F6" w:rsidRDefault="006B67F6" w:rsidP="00CB3BD3">
            <w:pPr>
              <w:rPr>
                <w:rFonts w:ascii="Calibri" w:hAnsi="Calibri"/>
                <w:color w:val="000000"/>
                <w:sz w:val="20"/>
                <w:szCs w:val="20"/>
              </w:rPr>
            </w:pPr>
            <w:r>
              <w:rPr>
                <w:rFonts w:ascii="Calibri" w:hAnsi="Calibri"/>
                <w:color w:val="000000"/>
                <w:sz w:val="20"/>
                <w:szCs w:val="20"/>
              </w:rPr>
              <w:t>France</w:t>
            </w:r>
          </w:p>
        </w:tc>
        <w:tc>
          <w:tcPr>
            <w:tcW w:w="236" w:type="dxa"/>
          </w:tcPr>
          <w:p w:rsidR="006B67F6" w:rsidRPr="00724F7E" w:rsidRDefault="006B67F6" w:rsidP="00CB3BD3">
            <w:pPr>
              <w:jc w:val="center"/>
              <w:rPr>
                <w:sz w:val="20"/>
                <w:szCs w:val="20"/>
              </w:rPr>
            </w:pPr>
          </w:p>
        </w:tc>
        <w:tc>
          <w:tcPr>
            <w:tcW w:w="1361" w:type="dxa"/>
            <w:vAlign w:val="center"/>
          </w:tcPr>
          <w:p w:rsidR="006B67F6" w:rsidRDefault="006B67F6">
            <w:pPr>
              <w:rPr>
                <w:rFonts w:ascii="Calibri" w:hAnsi="Calibri"/>
                <w:color w:val="000000"/>
              </w:rPr>
            </w:pPr>
            <w:r>
              <w:rPr>
                <w:rFonts w:ascii="Calibri" w:hAnsi="Calibri"/>
                <w:color w:val="000000"/>
              </w:rPr>
              <w:t>-0.871</w:t>
            </w:r>
          </w:p>
        </w:tc>
        <w:tc>
          <w:tcPr>
            <w:tcW w:w="236" w:type="dxa"/>
            <w:vAlign w:val="center"/>
          </w:tcPr>
          <w:p w:rsidR="006B67F6" w:rsidRDefault="006B67F6">
            <w:pPr>
              <w:rPr>
                <w:rFonts w:ascii="Calibri" w:hAnsi="Calibri"/>
                <w:color w:val="000000"/>
              </w:rPr>
            </w:pPr>
          </w:p>
        </w:tc>
        <w:tc>
          <w:tcPr>
            <w:tcW w:w="1361" w:type="dxa"/>
            <w:vAlign w:val="center"/>
          </w:tcPr>
          <w:p w:rsidR="006B67F6" w:rsidRDefault="006B67F6">
            <w:pPr>
              <w:rPr>
                <w:rFonts w:ascii="Calibri" w:hAnsi="Calibri"/>
                <w:color w:val="000000"/>
              </w:rPr>
            </w:pPr>
            <w:r>
              <w:rPr>
                <w:rFonts w:ascii="Calibri" w:hAnsi="Calibri"/>
                <w:color w:val="000000"/>
              </w:rPr>
              <w:t>0.049</w:t>
            </w:r>
          </w:p>
        </w:tc>
        <w:tc>
          <w:tcPr>
            <w:tcW w:w="236" w:type="dxa"/>
            <w:vAlign w:val="center"/>
          </w:tcPr>
          <w:p w:rsidR="006B67F6" w:rsidRDefault="006B67F6">
            <w:pPr>
              <w:rPr>
                <w:rFonts w:ascii="Calibri" w:hAnsi="Calibri"/>
                <w:color w:val="000000"/>
              </w:rPr>
            </w:pPr>
          </w:p>
        </w:tc>
        <w:tc>
          <w:tcPr>
            <w:tcW w:w="1361" w:type="dxa"/>
            <w:vAlign w:val="center"/>
          </w:tcPr>
          <w:p w:rsidR="006B67F6" w:rsidRDefault="006B67F6">
            <w:pPr>
              <w:rPr>
                <w:rFonts w:ascii="Calibri" w:hAnsi="Calibri"/>
                <w:color w:val="000000"/>
              </w:rPr>
            </w:pPr>
            <w:r>
              <w:rPr>
                <w:rFonts w:ascii="Calibri" w:hAnsi="Calibri"/>
                <w:color w:val="000000"/>
              </w:rPr>
              <w:t>0.067</w:t>
            </w:r>
          </w:p>
        </w:tc>
        <w:tc>
          <w:tcPr>
            <w:tcW w:w="236" w:type="dxa"/>
            <w:vAlign w:val="center"/>
          </w:tcPr>
          <w:p w:rsidR="006B67F6" w:rsidRDefault="006B67F6">
            <w:pPr>
              <w:rPr>
                <w:rFonts w:ascii="Calibri" w:hAnsi="Calibri"/>
                <w:color w:val="000000"/>
              </w:rPr>
            </w:pPr>
          </w:p>
        </w:tc>
        <w:tc>
          <w:tcPr>
            <w:tcW w:w="1361" w:type="dxa"/>
            <w:vAlign w:val="center"/>
          </w:tcPr>
          <w:p w:rsidR="006B67F6" w:rsidRDefault="006B67F6">
            <w:pPr>
              <w:rPr>
                <w:rFonts w:ascii="Calibri" w:hAnsi="Calibri"/>
                <w:color w:val="000000"/>
              </w:rPr>
            </w:pPr>
            <w:r>
              <w:rPr>
                <w:rFonts w:ascii="Calibri" w:hAnsi="Calibri"/>
                <w:color w:val="000000"/>
              </w:rPr>
              <w:t>0.197</w:t>
            </w:r>
          </w:p>
        </w:tc>
      </w:tr>
      <w:tr w:rsidR="006B67F6" w:rsidRPr="00724F7E" w:rsidTr="00CB3BD3">
        <w:trPr>
          <w:trHeight w:val="254"/>
          <w:jc w:val="center"/>
        </w:trPr>
        <w:tc>
          <w:tcPr>
            <w:tcW w:w="1247" w:type="dxa"/>
            <w:vMerge/>
            <w:vAlign w:val="center"/>
          </w:tcPr>
          <w:p w:rsidR="006B67F6" w:rsidRDefault="006B67F6" w:rsidP="00CB3BD3">
            <w:pPr>
              <w:rPr>
                <w:rFonts w:ascii="Calibri" w:hAnsi="Calibri"/>
                <w:color w:val="000000"/>
                <w:sz w:val="20"/>
                <w:szCs w:val="20"/>
              </w:rPr>
            </w:pPr>
          </w:p>
        </w:tc>
        <w:tc>
          <w:tcPr>
            <w:tcW w:w="236" w:type="dxa"/>
          </w:tcPr>
          <w:p w:rsidR="006B67F6" w:rsidRPr="00724F7E" w:rsidRDefault="006B67F6" w:rsidP="00CB3BD3">
            <w:pPr>
              <w:jc w:val="center"/>
              <w:rPr>
                <w:sz w:val="20"/>
                <w:szCs w:val="20"/>
              </w:rPr>
            </w:pPr>
          </w:p>
        </w:tc>
        <w:tc>
          <w:tcPr>
            <w:tcW w:w="1361" w:type="dxa"/>
            <w:vAlign w:val="center"/>
          </w:tcPr>
          <w:p w:rsidR="006B67F6" w:rsidRDefault="006B67F6">
            <w:pPr>
              <w:jc w:val="right"/>
              <w:rPr>
                <w:rFonts w:ascii="Calibri" w:hAnsi="Calibri"/>
                <w:color w:val="000000"/>
                <w:sz w:val="18"/>
                <w:szCs w:val="18"/>
              </w:rPr>
            </w:pPr>
            <w:r>
              <w:rPr>
                <w:rFonts w:ascii="Calibri" w:hAnsi="Calibri"/>
                <w:color w:val="000000"/>
                <w:sz w:val="18"/>
                <w:szCs w:val="18"/>
              </w:rPr>
              <w:t>0.03%</w:t>
            </w:r>
          </w:p>
        </w:tc>
        <w:tc>
          <w:tcPr>
            <w:tcW w:w="236" w:type="dxa"/>
            <w:vAlign w:val="center"/>
          </w:tcPr>
          <w:p w:rsidR="006B67F6" w:rsidRDefault="006B67F6">
            <w:pPr>
              <w:jc w:val="right"/>
              <w:rPr>
                <w:rFonts w:ascii="Calibri" w:hAnsi="Calibri"/>
                <w:color w:val="000000"/>
                <w:sz w:val="18"/>
                <w:szCs w:val="18"/>
              </w:rPr>
            </w:pPr>
          </w:p>
        </w:tc>
        <w:tc>
          <w:tcPr>
            <w:tcW w:w="1361" w:type="dxa"/>
            <w:vAlign w:val="center"/>
          </w:tcPr>
          <w:p w:rsidR="006B67F6" w:rsidRDefault="006B67F6">
            <w:pPr>
              <w:jc w:val="right"/>
              <w:rPr>
                <w:rFonts w:ascii="Calibri" w:hAnsi="Calibri"/>
                <w:color w:val="000000"/>
                <w:sz w:val="18"/>
                <w:szCs w:val="18"/>
              </w:rPr>
            </w:pPr>
            <w:r>
              <w:rPr>
                <w:rFonts w:ascii="Calibri" w:hAnsi="Calibri"/>
                <w:color w:val="000000"/>
                <w:sz w:val="18"/>
                <w:szCs w:val="18"/>
              </w:rPr>
              <w:t>0.00%</w:t>
            </w:r>
          </w:p>
        </w:tc>
        <w:tc>
          <w:tcPr>
            <w:tcW w:w="236" w:type="dxa"/>
            <w:vAlign w:val="center"/>
          </w:tcPr>
          <w:p w:rsidR="006B67F6" w:rsidRDefault="006B67F6">
            <w:pPr>
              <w:jc w:val="right"/>
              <w:rPr>
                <w:rFonts w:ascii="Calibri" w:hAnsi="Calibri"/>
                <w:color w:val="000000"/>
                <w:sz w:val="18"/>
                <w:szCs w:val="18"/>
              </w:rPr>
            </w:pPr>
          </w:p>
        </w:tc>
        <w:tc>
          <w:tcPr>
            <w:tcW w:w="1361" w:type="dxa"/>
            <w:vAlign w:val="center"/>
          </w:tcPr>
          <w:p w:rsidR="006B67F6" w:rsidRDefault="006B67F6">
            <w:pPr>
              <w:jc w:val="right"/>
              <w:rPr>
                <w:rFonts w:ascii="Calibri" w:hAnsi="Calibri"/>
                <w:color w:val="000000"/>
                <w:sz w:val="18"/>
                <w:szCs w:val="18"/>
              </w:rPr>
            </w:pPr>
            <w:r>
              <w:rPr>
                <w:rFonts w:ascii="Calibri" w:hAnsi="Calibri"/>
                <w:color w:val="000000"/>
                <w:sz w:val="18"/>
                <w:szCs w:val="18"/>
              </w:rPr>
              <w:t>0.00%</w:t>
            </w:r>
          </w:p>
        </w:tc>
        <w:tc>
          <w:tcPr>
            <w:tcW w:w="236" w:type="dxa"/>
            <w:vAlign w:val="center"/>
          </w:tcPr>
          <w:p w:rsidR="006B67F6" w:rsidRDefault="006B67F6">
            <w:pPr>
              <w:jc w:val="right"/>
              <w:rPr>
                <w:rFonts w:ascii="Calibri" w:hAnsi="Calibri"/>
                <w:color w:val="000000"/>
                <w:sz w:val="18"/>
                <w:szCs w:val="18"/>
              </w:rPr>
            </w:pPr>
          </w:p>
        </w:tc>
        <w:tc>
          <w:tcPr>
            <w:tcW w:w="1361" w:type="dxa"/>
            <w:vAlign w:val="center"/>
          </w:tcPr>
          <w:p w:rsidR="006B67F6" w:rsidRDefault="006B67F6">
            <w:pPr>
              <w:jc w:val="right"/>
              <w:rPr>
                <w:rFonts w:ascii="Calibri" w:hAnsi="Calibri"/>
                <w:color w:val="000000"/>
                <w:sz w:val="18"/>
                <w:szCs w:val="18"/>
              </w:rPr>
            </w:pPr>
            <w:r>
              <w:rPr>
                <w:rFonts w:ascii="Calibri" w:hAnsi="Calibri"/>
                <w:color w:val="000000"/>
                <w:sz w:val="18"/>
                <w:szCs w:val="18"/>
              </w:rPr>
              <w:t>0.05%</w:t>
            </w:r>
          </w:p>
        </w:tc>
      </w:tr>
      <w:tr w:rsidR="006B67F6" w:rsidRPr="00724F7E" w:rsidTr="00CB3BD3">
        <w:trPr>
          <w:trHeight w:val="254"/>
          <w:jc w:val="center"/>
        </w:trPr>
        <w:tc>
          <w:tcPr>
            <w:tcW w:w="1247" w:type="dxa"/>
            <w:vMerge w:val="restart"/>
            <w:vAlign w:val="center"/>
          </w:tcPr>
          <w:p w:rsidR="006B67F6" w:rsidRDefault="006B67F6" w:rsidP="00CB3BD3">
            <w:pPr>
              <w:rPr>
                <w:rFonts w:ascii="Calibri" w:hAnsi="Calibri"/>
                <w:color w:val="000000"/>
                <w:sz w:val="20"/>
                <w:szCs w:val="20"/>
              </w:rPr>
            </w:pPr>
            <w:r>
              <w:rPr>
                <w:rFonts w:ascii="Calibri" w:hAnsi="Calibri"/>
                <w:color w:val="000000"/>
                <w:sz w:val="20"/>
                <w:szCs w:val="20"/>
              </w:rPr>
              <w:t>Austria</w:t>
            </w:r>
          </w:p>
        </w:tc>
        <w:tc>
          <w:tcPr>
            <w:tcW w:w="236" w:type="dxa"/>
          </w:tcPr>
          <w:p w:rsidR="006B67F6" w:rsidRPr="00724F7E" w:rsidRDefault="006B67F6" w:rsidP="00CB3BD3">
            <w:pPr>
              <w:jc w:val="center"/>
              <w:rPr>
                <w:sz w:val="20"/>
                <w:szCs w:val="20"/>
              </w:rPr>
            </w:pPr>
          </w:p>
        </w:tc>
        <w:tc>
          <w:tcPr>
            <w:tcW w:w="1361" w:type="dxa"/>
            <w:vAlign w:val="center"/>
          </w:tcPr>
          <w:p w:rsidR="006B67F6" w:rsidRDefault="006B67F6">
            <w:pPr>
              <w:rPr>
                <w:rFonts w:ascii="Calibri" w:hAnsi="Calibri"/>
                <w:color w:val="000000"/>
              </w:rPr>
            </w:pPr>
            <w:r>
              <w:rPr>
                <w:rFonts w:ascii="Calibri" w:hAnsi="Calibri"/>
                <w:color w:val="000000"/>
              </w:rPr>
              <w:t>-0.722</w:t>
            </w:r>
          </w:p>
        </w:tc>
        <w:tc>
          <w:tcPr>
            <w:tcW w:w="236" w:type="dxa"/>
            <w:vAlign w:val="center"/>
          </w:tcPr>
          <w:p w:rsidR="006B67F6" w:rsidRDefault="006B67F6">
            <w:pPr>
              <w:rPr>
                <w:rFonts w:ascii="Calibri" w:hAnsi="Calibri"/>
                <w:color w:val="000000"/>
              </w:rPr>
            </w:pPr>
          </w:p>
        </w:tc>
        <w:tc>
          <w:tcPr>
            <w:tcW w:w="1361" w:type="dxa"/>
            <w:vAlign w:val="center"/>
          </w:tcPr>
          <w:p w:rsidR="006B67F6" w:rsidRDefault="006B67F6">
            <w:pPr>
              <w:rPr>
                <w:rFonts w:ascii="Calibri" w:hAnsi="Calibri"/>
                <w:color w:val="000000"/>
              </w:rPr>
            </w:pPr>
            <w:r>
              <w:rPr>
                <w:rFonts w:ascii="Calibri" w:hAnsi="Calibri"/>
                <w:color w:val="000000"/>
              </w:rPr>
              <w:t>-0.068</w:t>
            </w:r>
          </w:p>
        </w:tc>
        <w:tc>
          <w:tcPr>
            <w:tcW w:w="236" w:type="dxa"/>
            <w:vAlign w:val="center"/>
          </w:tcPr>
          <w:p w:rsidR="006B67F6" w:rsidRDefault="006B67F6">
            <w:pPr>
              <w:rPr>
                <w:rFonts w:ascii="Calibri" w:hAnsi="Calibri"/>
                <w:color w:val="000000"/>
              </w:rPr>
            </w:pPr>
          </w:p>
        </w:tc>
        <w:tc>
          <w:tcPr>
            <w:tcW w:w="1361" w:type="dxa"/>
            <w:vAlign w:val="center"/>
          </w:tcPr>
          <w:p w:rsidR="006B67F6" w:rsidRDefault="006B67F6">
            <w:pPr>
              <w:rPr>
                <w:rFonts w:ascii="Calibri" w:hAnsi="Calibri"/>
                <w:color w:val="000000"/>
              </w:rPr>
            </w:pPr>
            <w:r>
              <w:rPr>
                <w:rFonts w:ascii="Calibri" w:hAnsi="Calibri"/>
                <w:color w:val="000000"/>
              </w:rPr>
              <w:t>-0.006</w:t>
            </w:r>
          </w:p>
        </w:tc>
        <w:tc>
          <w:tcPr>
            <w:tcW w:w="236" w:type="dxa"/>
            <w:vAlign w:val="center"/>
          </w:tcPr>
          <w:p w:rsidR="006B67F6" w:rsidRDefault="006B67F6">
            <w:pPr>
              <w:rPr>
                <w:rFonts w:ascii="Calibri" w:hAnsi="Calibri"/>
                <w:color w:val="000000"/>
              </w:rPr>
            </w:pPr>
          </w:p>
        </w:tc>
        <w:tc>
          <w:tcPr>
            <w:tcW w:w="1361" w:type="dxa"/>
            <w:vAlign w:val="center"/>
          </w:tcPr>
          <w:p w:rsidR="006B67F6" w:rsidRDefault="006B67F6">
            <w:pPr>
              <w:rPr>
                <w:rFonts w:ascii="Calibri" w:hAnsi="Calibri"/>
                <w:color w:val="000000"/>
              </w:rPr>
            </w:pPr>
            <w:r>
              <w:rPr>
                <w:rFonts w:ascii="Calibri" w:hAnsi="Calibri"/>
                <w:color w:val="000000"/>
              </w:rPr>
              <w:t>-0.073</w:t>
            </w:r>
          </w:p>
        </w:tc>
      </w:tr>
      <w:tr w:rsidR="006B67F6" w:rsidRPr="00724F7E" w:rsidTr="00CB3BD3">
        <w:trPr>
          <w:trHeight w:val="254"/>
          <w:jc w:val="center"/>
        </w:trPr>
        <w:tc>
          <w:tcPr>
            <w:tcW w:w="1247" w:type="dxa"/>
            <w:vMerge/>
            <w:vAlign w:val="center"/>
          </w:tcPr>
          <w:p w:rsidR="006B67F6" w:rsidRDefault="006B67F6" w:rsidP="00CB3BD3">
            <w:pPr>
              <w:rPr>
                <w:rFonts w:ascii="Calibri" w:hAnsi="Calibri"/>
                <w:color w:val="000000"/>
                <w:sz w:val="20"/>
                <w:szCs w:val="20"/>
              </w:rPr>
            </w:pPr>
          </w:p>
        </w:tc>
        <w:tc>
          <w:tcPr>
            <w:tcW w:w="236" w:type="dxa"/>
          </w:tcPr>
          <w:p w:rsidR="006B67F6" w:rsidRPr="00724F7E" w:rsidRDefault="006B67F6" w:rsidP="00CB3BD3">
            <w:pPr>
              <w:jc w:val="center"/>
              <w:rPr>
                <w:sz w:val="20"/>
                <w:szCs w:val="20"/>
              </w:rPr>
            </w:pPr>
          </w:p>
        </w:tc>
        <w:tc>
          <w:tcPr>
            <w:tcW w:w="1361" w:type="dxa"/>
            <w:vAlign w:val="center"/>
          </w:tcPr>
          <w:p w:rsidR="006B67F6" w:rsidRDefault="006B67F6">
            <w:pPr>
              <w:jc w:val="right"/>
              <w:rPr>
                <w:rFonts w:ascii="Calibri" w:hAnsi="Calibri"/>
                <w:color w:val="000000"/>
                <w:sz w:val="18"/>
                <w:szCs w:val="18"/>
              </w:rPr>
            </w:pPr>
            <w:r>
              <w:rPr>
                <w:rFonts w:ascii="Calibri" w:hAnsi="Calibri"/>
                <w:color w:val="000000"/>
                <w:sz w:val="18"/>
                <w:szCs w:val="18"/>
              </w:rPr>
              <w:t>0.02%</w:t>
            </w:r>
          </w:p>
        </w:tc>
        <w:tc>
          <w:tcPr>
            <w:tcW w:w="236" w:type="dxa"/>
            <w:vAlign w:val="center"/>
          </w:tcPr>
          <w:p w:rsidR="006B67F6" w:rsidRDefault="006B67F6">
            <w:pPr>
              <w:jc w:val="right"/>
              <w:rPr>
                <w:rFonts w:ascii="Calibri" w:hAnsi="Calibri"/>
                <w:color w:val="000000"/>
                <w:sz w:val="18"/>
                <w:szCs w:val="18"/>
              </w:rPr>
            </w:pPr>
          </w:p>
        </w:tc>
        <w:tc>
          <w:tcPr>
            <w:tcW w:w="1361" w:type="dxa"/>
            <w:vAlign w:val="center"/>
          </w:tcPr>
          <w:p w:rsidR="006B67F6" w:rsidRDefault="006B67F6">
            <w:pPr>
              <w:jc w:val="right"/>
              <w:rPr>
                <w:rFonts w:ascii="Calibri" w:hAnsi="Calibri"/>
                <w:color w:val="000000"/>
                <w:sz w:val="18"/>
                <w:szCs w:val="18"/>
              </w:rPr>
            </w:pPr>
            <w:r>
              <w:rPr>
                <w:rFonts w:ascii="Calibri" w:hAnsi="Calibri"/>
                <w:color w:val="000000"/>
                <w:sz w:val="18"/>
                <w:szCs w:val="18"/>
              </w:rPr>
              <w:t>0.04%</w:t>
            </w:r>
          </w:p>
        </w:tc>
        <w:tc>
          <w:tcPr>
            <w:tcW w:w="236" w:type="dxa"/>
            <w:vAlign w:val="center"/>
          </w:tcPr>
          <w:p w:rsidR="006B67F6" w:rsidRDefault="006B67F6">
            <w:pPr>
              <w:jc w:val="right"/>
              <w:rPr>
                <w:rFonts w:ascii="Calibri" w:hAnsi="Calibri"/>
                <w:color w:val="000000"/>
                <w:sz w:val="18"/>
                <w:szCs w:val="18"/>
              </w:rPr>
            </w:pPr>
          </w:p>
        </w:tc>
        <w:tc>
          <w:tcPr>
            <w:tcW w:w="1361" w:type="dxa"/>
            <w:vAlign w:val="center"/>
          </w:tcPr>
          <w:p w:rsidR="006B67F6" w:rsidRDefault="006B67F6">
            <w:pPr>
              <w:jc w:val="right"/>
              <w:rPr>
                <w:rFonts w:ascii="Calibri" w:hAnsi="Calibri"/>
                <w:color w:val="000000"/>
                <w:sz w:val="18"/>
                <w:szCs w:val="18"/>
              </w:rPr>
            </w:pPr>
            <w:r>
              <w:rPr>
                <w:rFonts w:ascii="Calibri" w:hAnsi="Calibri"/>
                <w:color w:val="000000"/>
                <w:sz w:val="18"/>
                <w:szCs w:val="18"/>
              </w:rPr>
              <w:t>-0.01%</w:t>
            </w:r>
          </w:p>
        </w:tc>
        <w:tc>
          <w:tcPr>
            <w:tcW w:w="236" w:type="dxa"/>
            <w:vAlign w:val="center"/>
          </w:tcPr>
          <w:p w:rsidR="006B67F6" w:rsidRDefault="006B67F6">
            <w:pPr>
              <w:jc w:val="right"/>
              <w:rPr>
                <w:rFonts w:ascii="Calibri" w:hAnsi="Calibri"/>
                <w:color w:val="000000"/>
                <w:sz w:val="18"/>
                <w:szCs w:val="18"/>
              </w:rPr>
            </w:pPr>
          </w:p>
        </w:tc>
        <w:tc>
          <w:tcPr>
            <w:tcW w:w="1361" w:type="dxa"/>
            <w:vAlign w:val="center"/>
          </w:tcPr>
          <w:p w:rsidR="006B67F6" w:rsidRDefault="006B67F6">
            <w:pPr>
              <w:jc w:val="right"/>
              <w:rPr>
                <w:rFonts w:ascii="Calibri" w:hAnsi="Calibri"/>
                <w:color w:val="000000"/>
                <w:sz w:val="18"/>
                <w:szCs w:val="18"/>
              </w:rPr>
            </w:pPr>
            <w:r>
              <w:rPr>
                <w:rFonts w:ascii="Calibri" w:hAnsi="Calibri"/>
                <w:color w:val="000000"/>
                <w:sz w:val="18"/>
                <w:szCs w:val="18"/>
              </w:rPr>
              <w:t>0.03%</w:t>
            </w:r>
          </w:p>
        </w:tc>
      </w:tr>
      <w:tr w:rsidR="006B67F6" w:rsidRPr="00724F7E" w:rsidTr="00CB3BD3">
        <w:trPr>
          <w:trHeight w:val="254"/>
          <w:jc w:val="center"/>
        </w:trPr>
        <w:tc>
          <w:tcPr>
            <w:tcW w:w="1247" w:type="dxa"/>
            <w:vMerge w:val="restart"/>
            <w:vAlign w:val="center"/>
          </w:tcPr>
          <w:p w:rsidR="006B67F6" w:rsidRDefault="006B67F6" w:rsidP="00CB3BD3">
            <w:pPr>
              <w:rPr>
                <w:rFonts w:ascii="Calibri" w:hAnsi="Calibri"/>
                <w:color w:val="000000"/>
                <w:sz w:val="20"/>
                <w:szCs w:val="20"/>
              </w:rPr>
            </w:pPr>
            <w:r>
              <w:rPr>
                <w:rFonts w:ascii="Calibri" w:hAnsi="Calibri"/>
                <w:color w:val="000000"/>
                <w:sz w:val="20"/>
                <w:szCs w:val="20"/>
              </w:rPr>
              <w:t>Belgium</w:t>
            </w:r>
          </w:p>
        </w:tc>
        <w:tc>
          <w:tcPr>
            <w:tcW w:w="236" w:type="dxa"/>
          </w:tcPr>
          <w:p w:rsidR="006B67F6" w:rsidRPr="00724F7E" w:rsidRDefault="006B67F6" w:rsidP="00CB3BD3">
            <w:pPr>
              <w:jc w:val="center"/>
              <w:rPr>
                <w:sz w:val="20"/>
                <w:szCs w:val="20"/>
              </w:rPr>
            </w:pPr>
          </w:p>
        </w:tc>
        <w:tc>
          <w:tcPr>
            <w:tcW w:w="1361" w:type="dxa"/>
            <w:vAlign w:val="center"/>
          </w:tcPr>
          <w:p w:rsidR="006B67F6" w:rsidRDefault="006B67F6">
            <w:pPr>
              <w:rPr>
                <w:rFonts w:ascii="Calibri" w:hAnsi="Calibri"/>
                <w:color w:val="000000"/>
              </w:rPr>
            </w:pPr>
            <w:r>
              <w:rPr>
                <w:rFonts w:ascii="Calibri" w:hAnsi="Calibri"/>
                <w:color w:val="000000"/>
              </w:rPr>
              <w:t>-0.066</w:t>
            </w:r>
          </w:p>
        </w:tc>
        <w:tc>
          <w:tcPr>
            <w:tcW w:w="236" w:type="dxa"/>
            <w:vAlign w:val="center"/>
          </w:tcPr>
          <w:p w:rsidR="006B67F6" w:rsidRDefault="006B67F6">
            <w:pPr>
              <w:rPr>
                <w:rFonts w:ascii="Calibri" w:hAnsi="Calibri"/>
                <w:color w:val="000000"/>
              </w:rPr>
            </w:pPr>
          </w:p>
        </w:tc>
        <w:tc>
          <w:tcPr>
            <w:tcW w:w="1361" w:type="dxa"/>
            <w:vAlign w:val="center"/>
          </w:tcPr>
          <w:p w:rsidR="006B67F6" w:rsidRDefault="006B67F6">
            <w:pPr>
              <w:rPr>
                <w:rFonts w:ascii="Calibri" w:hAnsi="Calibri"/>
                <w:color w:val="000000"/>
              </w:rPr>
            </w:pPr>
            <w:r>
              <w:rPr>
                <w:rFonts w:ascii="Calibri" w:hAnsi="Calibri"/>
                <w:color w:val="000000"/>
              </w:rPr>
              <w:t>-0.125</w:t>
            </w:r>
          </w:p>
        </w:tc>
        <w:tc>
          <w:tcPr>
            <w:tcW w:w="236" w:type="dxa"/>
            <w:vAlign w:val="center"/>
          </w:tcPr>
          <w:p w:rsidR="006B67F6" w:rsidRDefault="006B67F6">
            <w:pPr>
              <w:rPr>
                <w:rFonts w:ascii="Calibri" w:hAnsi="Calibri"/>
                <w:color w:val="000000"/>
              </w:rPr>
            </w:pPr>
          </w:p>
        </w:tc>
        <w:tc>
          <w:tcPr>
            <w:tcW w:w="1361" w:type="dxa"/>
            <w:vAlign w:val="center"/>
          </w:tcPr>
          <w:p w:rsidR="006B67F6" w:rsidRDefault="006B67F6">
            <w:pPr>
              <w:rPr>
                <w:rFonts w:ascii="Calibri" w:hAnsi="Calibri"/>
                <w:b/>
                <w:bCs/>
                <w:color w:val="FF0000"/>
              </w:rPr>
            </w:pPr>
            <w:r>
              <w:rPr>
                <w:rFonts w:ascii="Calibri" w:hAnsi="Calibri"/>
                <w:b/>
                <w:bCs/>
                <w:color w:val="FF0000"/>
              </w:rPr>
              <w:t>-0.239 **</w:t>
            </w:r>
          </w:p>
        </w:tc>
        <w:tc>
          <w:tcPr>
            <w:tcW w:w="236" w:type="dxa"/>
            <w:vAlign w:val="center"/>
          </w:tcPr>
          <w:p w:rsidR="006B67F6" w:rsidRDefault="006B67F6">
            <w:pPr>
              <w:rPr>
                <w:rFonts w:ascii="Calibri" w:hAnsi="Calibri"/>
                <w:color w:val="000000"/>
              </w:rPr>
            </w:pPr>
          </w:p>
        </w:tc>
        <w:tc>
          <w:tcPr>
            <w:tcW w:w="1361" w:type="dxa"/>
            <w:vAlign w:val="center"/>
          </w:tcPr>
          <w:p w:rsidR="006B67F6" w:rsidRDefault="006B67F6">
            <w:pPr>
              <w:rPr>
                <w:rFonts w:ascii="Calibri" w:hAnsi="Calibri"/>
                <w:color w:val="000000"/>
              </w:rPr>
            </w:pPr>
            <w:r>
              <w:rPr>
                <w:rFonts w:ascii="Calibri" w:hAnsi="Calibri"/>
                <w:color w:val="000000"/>
              </w:rPr>
              <w:t>-0.183</w:t>
            </w:r>
          </w:p>
        </w:tc>
      </w:tr>
      <w:tr w:rsidR="006B67F6" w:rsidRPr="00724F7E" w:rsidTr="00CB3BD3">
        <w:trPr>
          <w:trHeight w:val="254"/>
          <w:jc w:val="center"/>
        </w:trPr>
        <w:tc>
          <w:tcPr>
            <w:tcW w:w="1247" w:type="dxa"/>
            <w:vMerge/>
            <w:vAlign w:val="center"/>
          </w:tcPr>
          <w:p w:rsidR="006B67F6" w:rsidRDefault="006B67F6" w:rsidP="00CB3BD3">
            <w:pPr>
              <w:rPr>
                <w:rFonts w:ascii="Calibri" w:hAnsi="Calibri"/>
                <w:color w:val="000000"/>
                <w:sz w:val="20"/>
                <w:szCs w:val="20"/>
              </w:rPr>
            </w:pPr>
          </w:p>
        </w:tc>
        <w:tc>
          <w:tcPr>
            <w:tcW w:w="236" w:type="dxa"/>
          </w:tcPr>
          <w:p w:rsidR="006B67F6" w:rsidRPr="00724F7E" w:rsidRDefault="006B67F6" w:rsidP="00CB3BD3">
            <w:pPr>
              <w:jc w:val="center"/>
              <w:rPr>
                <w:sz w:val="20"/>
                <w:szCs w:val="20"/>
              </w:rPr>
            </w:pPr>
          </w:p>
        </w:tc>
        <w:tc>
          <w:tcPr>
            <w:tcW w:w="1361" w:type="dxa"/>
            <w:vAlign w:val="center"/>
          </w:tcPr>
          <w:p w:rsidR="006B67F6" w:rsidRDefault="006B67F6">
            <w:pPr>
              <w:jc w:val="right"/>
              <w:rPr>
                <w:rFonts w:ascii="Calibri" w:hAnsi="Calibri"/>
                <w:color w:val="000000"/>
                <w:sz w:val="18"/>
                <w:szCs w:val="18"/>
              </w:rPr>
            </w:pPr>
            <w:r>
              <w:rPr>
                <w:rFonts w:ascii="Calibri" w:hAnsi="Calibri"/>
                <w:color w:val="000000"/>
                <w:sz w:val="18"/>
                <w:szCs w:val="18"/>
              </w:rPr>
              <w:t>-0.01%</w:t>
            </w:r>
          </w:p>
        </w:tc>
        <w:tc>
          <w:tcPr>
            <w:tcW w:w="236" w:type="dxa"/>
            <w:vAlign w:val="center"/>
          </w:tcPr>
          <w:p w:rsidR="006B67F6" w:rsidRDefault="006B67F6">
            <w:pPr>
              <w:jc w:val="right"/>
              <w:rPr>
                <w:rFonts w:ascii="Calibri" w:hAnsi="Calibri"/>
                <w:color w:val="000000"/>
                <w:sz w:val="18"/>
                <w:szCs w:val="18"/>
              </w:rPr>
            </w:pPr>
          </w:p>
        </w:tc>
        <w:tc>
          <w:tcPr>
            <w:tcW w:w="1361" w:type="dxa"/>
            <w:vAlign w:val="center"/>
          </w:tcPr>
          <w:p w:rsidR="006B67F6" w:rsidRDefault="006B67F6">
            <w:pPr>
              <w:jc w:val="right"/>
              <w:rPr>
                <w:rFonts w:ascii="Calibri" w:hAnsi="Calibri"/>
                <w:color w:val="000000"/>
                <w:sz w:val="18"/>
                <w:szCs w:val="18"/>
              </w:rPr>
            </w:pPr>
            <w:r>
              <w:rPr>
                <w:rFonts w:ascii="Calibri" w:hAnsi="Calibri"/>
                <w:color w:val="000000"/>
                <w:sz w:val="18"/>
                <w:szCs w:val="18"/>
              </w:rPr>
              <w:t>0.02%</w:t>
            </w:r>
          </w:p>
        </w:tc>
        <w:tc>
          <w:tcPr>
            <w:tcW w:w="236" w:type="dxa"/>
            <w:vAlign w:val="center"/>
          </w:tcPr>
          <w:p w:rsidR="006B67F6" w:rsidRDefault="006B67F6">
            <w:pPr>
              <w:jc w:val="right"/>
              <w:rPr>
                <w:rFonts w:ascii="Calibri" w:hAnsi="Calibri"/>
                <w:color w:val="000000"/>
                <w:sz w:val="18"/>
                <w:szCs w:val="18"/>
              </w:rPr>
            </w:pPr>
          </w:p>
        </w:tc>
        <w:tc>
          <w:tcPr>
            <w:tcW w:w="1361" w:type="dxa"/>
            <w:vAlign w:val="center"/>
          </w:tcPr>
          <w:p w:rsidR="006B67F6" w:rsidRDefault="006B67F6">
            <w:pPr>
              <w:jc w:val="right"/>
              <w:rPr>
                <w:rFonts w:ascii="Calibri" w:hAnsi="Calibri"/>
                <w:color w:val="000000"/>
                <w:sz w:val="18"/>
                <w:szCs w:val="18"/>
              </w:rPr>
            </w:pPr>
            <w:r>
              <w:rPr>
                <w:rFonts w:ascii="Calibri" w:hAnsi="Calibri"/>
                <w:color w:val="000000"/>
                <w:sz w:val="18"/>
                <w:szCs w:val="18"/>
              </w:rPr>
              <w:t>0.85%</w:t>
            </w:r>
          </w:p>
        </w:tc>
        <w:tc>
          <w:tcPr>
            <w:tcW w:w="236" w:type="dxa"/>
            <w:vAlign w:val="center"/>
          </w:tcPr>
          <w:p w:rsidR="006B67F6" w:rsidRDefault="006B67F6">
            <w:pPr>
              <w:jc w:val="right"/>
              <w:rPr>
                <w:rFonts w:ascii="Calibri" w:hAnsi="Calibri"/>
                <w:color w:val="000000"/>
                <w:sz w:val="18"/>
                <w:szCs w:val="18"/>
              </w:rPr>
            </w:pPr>
          </w:p>
        </w:tc>
        <w:tc>
          <w:tcPr>
            <w:tcW w:w="1361" w:type="dxa"/>
            <w:vAlign w:val="center"/>
          </w:tcPr>
          <w:p w:rsidR="006B67F6" w:rsidRDefault="006B67F6">
            <w:pPr>
              <w:jc w:val="right"/>
              <w:rPr>
                <w:rFonts w:ascii="Calibri" w:hAnsi="Calibri"/>
                <w:color w:val="000000"/>
                <w:sz w:val="18"/>
                <w:szCs w:val="18"/>
              </w:rPr>
            </w:pPr>
            <w:r>
              <w:rPr>
                <w:rFonts w:ascii="Calibri" w:hAnsi="Calibri"/>
                <w:color w:val="000000"/>
                <w:sz w:val="18"/>
                <w:szCs w:val="18"/>
              </w:rPr>
              <w:t>0.08%</w:t>
            </w:r>
          </w:p>
        </w:tc>
      </w:tr>
      <w:tr w:rsidR="006B67F6" w:rsidRPr="00724F7E" w:rsidTr="00CB3BD3">
        <w:trPr>
          <w:trHeight w:val="254"/>
          <w:jc w:val="center"/>
        </w:trPr>
        <w:tc>
          <w:tcPr>
            <w:tcW w:w="1247" w:type="dxa"/>
            <w:vMerge w:val="restart"/>
            <w:vAlign w:val="center"/>
          </w:tcPr>
          <w:p w:rsidR="006B67F6" w:rsidRDefault="006B67F6" w:rsidP="00CB3BD3">
            <w:pPr>
              <w:rPr>
                <w:rFonts w:ascii="Calibri" w:hAnsi="Calibri"/>
                <w:color w:val="000000"/>
                <w:sz w:val="20"/>
                <w:szCs w:val="20"/>
              </w:rPr>
            </w:pPr>
            <w:r>
              <w:rPr>
                <w:rFonts w:ascii="Calibri" w:hAnsi="Calibri"/>
                <w:color w:val="000000"/>
                <w:sz w:val="20"/>
                <w:szCs w:val="20"/>
              </w:rPr>
              <w:t>Italy</w:t>
            </w:r>
          </w:p>
        </w:tc>
        <w:tc>
          <w:tcPr>
            <w:tcW w:w="236" w:type="dxa"/>
          </w:tcPr>
          <w:p w:rsidR="006B67F6" w:rsidRPr="00724F7E" w:rsidRDefault="006B67F6" w:rsidP="00CB3BD3">
            <w:pPr>
              <w:jc w:val="center"/>
              <w:rPr>
                <w:sz w:val="20"/>
                <w:szCs w:val="20"/>
              </w:rPr>
            </w:pPr>
          </w:p>
        </w:tc>
        <w:tc>
          <w:tcPr>
            <w:tcW w:w="1361" w:type="dxa"/>
            <w:vAlign w:val="center"/>
          </w:tcPr>
          <w:p w:rsidR="006B67F6" w:rsidRDefault="006B67F6">
            <w:pPr>
              <w:rPr>
                <w:rFonts w:ascii="Calibri" w:hAnsi="Calibri"/>
                <w:color w:val="000000"/>
              </w:rPr>
            </w:pPr>
            <w:r>
              <w:rPr>
                <w:rFonts w:ascii="Calibri" w:hAnsi="Calibri"/>
                <w:color w:val="000000"/>
              </w:rPr>
              <w:t>-1.404</w:t>
            </w:r>
          </w:p>
        </w:tc>
        <w:tc>
          <w:tcPr>
            <w:tcW w:w="236" w:type="dxa"/>
            <w:vAlign w:val="center"/>
          </w:tcPr>
          <w:p w:rsidR="006B67F6" w:rsidRDefault="006B67F6">
            <w:pPr>
              <w:rPr>
                <w:rFonts w:ascii="Calibri" w:hAnsi="Calibri"/>
                <w:color w:val="000000"/>
              </w:rPr>
            </w:pPr>
          </w:p>
        </w:tc>
        <w:tc>
          <w:tcPr>
            <w:tcW w:w="1361" w:type="dxa"/>
            <w:vAlign w:val="center"/>
          </w:tcPr>
          <w:p w:rsidR="006B67F6" w:rsidRDefault="006B67F6">
            <w:pPr>
              <w:rPr>
                <w:rFonts w:ascii="Calibri" w:hAnsi="Calibri"/>
                <w:color w:val="000000"/>
              </w:rPr>
            </w:pPr>
            <w:r>
              <w:rPr>
                <w:rFonts w:ascii="Calibri" w:hAnsi="Calibri"/>
                <w:color w:val="000000"/>
              </w:rPr>
              <w:t>-0.280</w:t>
            </w:r>
          </w:p>
        </w:tc>
        <w:tc>
          <w:tcPr>
            <w:tcW w:w="236" w:type="dxa"/>
            <w:vAlign w:val="center"/>
          </w:tcPr>
          <w:p w:rsidR="006B67F6" w:rsidRDefault="006B67F6">
            <w:pPr>
              <w:rPr>
                <w:rFonts w:ascii="Calibri" w:hAnsi="Calibri"/>
                <w:color w:val="000000"/>
              </w:rPr>
            </w:pPr>
          </w:p>
        </w:tc>
        <w:tc>
          <w:tcPr>
            <w:tcW w:w="1361" w:type="dxa"/>
            <w:vAlign w:val="center"/>
          </w:tcPr>
          <w:p w:rsidR="006B67F6" w:rsidRDefault="006B67F6">
            <w:pPr>
              <w:rPr>
                <w:rFonts w:ascii="Calibri" w:hAnsi="Calibri"/>
                <w:b/>
                <w:bCs/>
                <w:color w:val="FF0000"/>
              </w:rPr>
            </w:pPr>
            <w:r>
              <w:rPr>
                <w:rFonts w:ascii="Calibri" w:hAnsi="Calibri"/>
                <w:b/>
                <w:bCs/>
                <w:color w:val="FF0000"/>
              </w:rPr>
              <w:t>-0.549 ***</w:t>
            </w:r>
          </w:p>
        </w:tc>
        <w:tc>
          <w:tcPr>
            <w:tcW w:w="236" w:type="dxa"/>
            <w:vAlign w:val="center"/>
          </w:tcPr>
          <w:p w:rsidR="006B67F6" w:rsidRDefault="006B67F6">
            <w:pPr>
              <w:rPr>
                <w:rFonts w:ascii="Calibri" w:hAnsi="Calibri"/>
                <w:color w:val="000000"/>
              </w:rPr>
            </w:pPr>
          </w:p>
        </w:tc>
        <w:tc>
          <w:tcPr>
            <w:tcW w:w="1361" w:type="dxa"/>
            <w:vAlign w:val="center"/>
          </w:tcPr>
          <w:p w:rsidR="006B67F6" w:rsidRDefault="006B67F6">
            <w:pPr>
              <w:rPr>
                <w:rFonts w:ascii="Calibri" w:hAnsi="Calibri"/>
                <w:b/>
                <w:bCs/>
                <w:color w:val="FF0000"/>
              </w:rPr>
            </w:pPr>
            <w:r>
              <w:rPr>
                <w:rFonts w:ascii="Calibri" w:hAnsi="Calibri"/>
                <w:b/>
                <w:bCs/>
                <w:color w:val="FF0000"/>
              </w:rPr>
              <w:t>-0.737 **</w:t>
            </w:r>
          </w:p>
        </w:tc>
      </w:tr>
      <w:tr w:rsidR="006B67F6" w:rsidRPr="00724F7E" w:rsidTr="00CB3BD3">
        <w:trPr>
          <w:trHeight w:val="254"/>
          <w:jc w:val="center"/>
        </w:trPr>
        <w:tc>
          <w:tcPr>
            <w:tcW w:w="1247" w:type="dxa"/>
            <w:vMerge/>
            <w:vAlign w:val="center"/>
          </w:tcPr>
          <w:p w:rsidR="006B67F6" w:rsidRDefault="006B67F6" w:rsidP="00CB3BD3">
            <w:pPr>
              <w:rPr>
                <w:rFonts w:ascii="Calibri" w:hAnsi="Calibri"/>
                <w:color w:val="000000"/>
                <w:sz w:val="20"/>
                <w:szCs w:val="20"/>
              </w:rPr>
            </w:pPr>
          </w:p>
        </w:tc>
        <w:tc>
          <w:tcPr>
            <w:tcW w:w="236" w:type="dxa"/>
          </w:tcPr>
          <w:p w:rsidR="006B67F6" w:rsidRPr="00724F7E" w:rsidRDefault="006B67F6" w:rsidP="00CB3BD3">
            <w:pPr>
              <w:jc w:val="center"/>
              <w:rPr>
                <w:sz w:val="20"/>
                <w:szCs w:val="20"/>
              </w:rPr>
            </w:pPr>
          </w:p>
        </w:tc>
        <w:tc>
          <w:tcPr>
            <w:tcW w:w="1361" w:type="dxa"/>
            <w:vAlign w:val="center"/>
          </w:tcPr>
          <w:p w:rsidR="006B67F6" w:rsidRDefault="006B67F6">
            <w:pPr>
              <w:jc w:val="right"/>
              <w:rPr>
                <w:rFonts w:ascii="Calibri" w:hAnsi="Calibri"/>
                <w:color w:val="000000"/>
                <w:sz w:val="18"/>
                <w:szCs w:val="18"/>
              </w:rPr>
            </w:pPr>
            <w:r>
              <w:rPr>
                <w:rFonts w:ascii="Calibri" w:hAnsi="Calibri"/>
                <w:color w:val="000000"/>
                <w:sz w:val="18"/>
                <w:szCs w:val="18"/>
              </w:rPr>
              <w:t>0.05%</w:t>
            </w:r>
          </w:p>
        </w:tc>
        <w:tc>
          <w:tcPr>
            <w:tcW w:w="236" w:type="dxa"/>
            <w:vAlign w:val="center"/>
          </w:tcPr>
          <w:p w:rsidR="006B67F6" w:rsidRDefault="006B67F6">
            <w:pPr>
              <w:jc w:val="right"/>
              <w:rPr>
                <w:rFonts w:ascii="Calibri" w:hAnsi="Calibri"/>
                <w:color w:val="000000"/>
                <w:sz w:val="18"/>
                <w:szCs w:val="18"/>
              </w:rPr>
            </w:pPr>
          </w:p>
        </w:tc>
        <w:tc>
          <w:tcPr>
            <w:tcW w:w="1361" w:type="dxa"/>
            <w:vAlign w:val="center"/>
          </w:tcPr>
          <w:p w:rsidR="006B67F6" w:rsidRDefault="006B67F6">
            <w:pPr>
              <w:jc w:val="right"/>
              <w:rPr>
                <w:rFonts w:ascii="Calibri" w:hAnsi="Calibri"/>
                <w:color w:val="000000"/>
                <w:sz w:val="18"/>
                <w:szCs w:val="18"/>
              </w:rPr>
            </w:pPr>
            <w:r>
              <w:rPr>
                <w:rFonts w:ascii="Calibri" w:hAnsi="Calibri"/>
                <w:color w:val="000000"/>
                <w:sz w:val="18"/>
                <w:szCs w:val="18"/>
              </w:rPr>
              <w:t>0.18%</w:t>
            </w:r>
          </w:p>
        </w:tc>
        <w:tc>
          <w:tcPr>
            <w:tcW w:w="236" w:type="dxa"/>
            <w:vAlign w:val="center"/>
          </w:tcPr>
          <w:p w:rsidR="006B67F6" w:rsidRDefault="006B67F6">
            <w:pPr>
              <w:jc w:val="right"/>
              <w:rPr>
                <w:rFonts w:ascii="Calibri" w:hAnsi="Calibri"/>
                <w:color w:val="000000"/>
                <w:sz w:val="18"/>
                <w:szCs w:val="18"/>
              </w:rPr>
            </w:pPr>
          </w:p>
        </w:tc>
        <w:tc>
          <w:tcPr>
            <w:tcW w:w="1361" w:type="dxa"/>
            <w:vAlign w:val="center"/>
          </w:tcPr>
          <w:p w:rsidR="006B67F6" w:rsidRDefault="006B67F6">
            <w:pPr>
              <w:jc w:val="right"/>
              <w:rPr>
                <w:rFonts w:ascii="Calibri" w:hAnsi="Calibri"/>
                <w:color w:val="000000"/>
                <w:sz w:val="18"/>
                <w:szCs w:val="18"/>
              </w:rPr>
            </w:pPr>
            <w:r>
              <w:rPr>
                <w:rFonts w:ascii="Calibri" w:hAnsi="Calibri"/>
                <w:color w:val="000000"/>
                <w:sz w:val="18"/>
                <w:szCs w:val="18"/>
              </w:rPr>
              <w:t>4.15%</w:t>
            </w:r>
          </w:p>
        </w:tc>
        <w:tc>
          <w:tcPr>
            <w:tcW w:w="236" w:type="dxa"/>
            <w:vAlign w:val="center"/>
          </w:tcPr>
          <w:p w:rsidR="006B67F6" w:rsidRDefault="006B67F6">
            <w:pPr>
              <w:jc w:val="right"/>
              <w:rPr>
                <w:rFonts w:ascii="Calibri" w:hAnsi="Calibri"/>
                <w:color w:val="000000"/>
                <w:sz w:val="18"/>
                <w:szCs w:val="18"/>
              </w:rPr>
            </w:pPr>
          </w:p>
        </w:tc>
        <w:tc>
          <w:tcPr>
            <w:tcW w:w="1361" w:type="dxa"/>
            <w:vAlign w:val="center"/>
          </w:tcPr>
          <w:p w:rsidR="006B67F6" w:rsidRDefault="006B67F6">
            <w:pPr>
              <w:jc w:val="right"/>
              <w:rPr>
                <w:rFonts w:ascii="Calibri" w:hAnsi="Calibri"/>
                <w:color w:val="000000"/>
                <w:sz w:val="18"/>
                <w:szCs w:val="18"/>
              </w:rPr>
            </w:pPr>
            <w:r>
              <w:rPr>
                <w:rFonts w:ascii="Calibri" w:hAnsi="Calibri"/>
                <w:color w:val="000000"/>
                <w:sz w:val="18"/>
                <w:szCs w:val="18"/>
              </w:rPr>
              <w:t>1.02%</w:t>
            </w:r>
          </w:p>
        </w:tc>
      </w:tr>
      <w:tr w:rsidR="006B67F6" w:rsidRPr="00724F7E" w:rsidTr="00CB3BD3">
        <w:trPr>
          <w:trHeight w:val="254"/>
          <w:jc w:val="center"/>
        </w:trPr>
        <w:tc>
          <w:tcPr>
            <w:tcW w:w="1247" w:type="dxa"/>
            <w:vMerge w:val="restart"/>
            <w:vAlign w:val="center"/>
          </w:tcPr>
          <w:p w:rsidR="006B67F6" w:rsidRDefault="006B67F6" w:rsidP="00CB3BD3">
            <w:pPr>
              <w:rPr>
                <w:rFonts w:ascii="Calibri" w:hAnsi="Calibri"/>
                <w:color w:val="000000"/>
                <w:sz w:val="20"/>
                <w:szCs w:val="20"/>
              </w:rPr>
            </w:pPr>
            <w:r>
              <w:rPr>
                <w:rFonts w:ascii="Calibri" w:hAnsi="Calibri"/>
                <w:color w:val="000000"/>
                <w:sz w:val="20"/>
                <w:szCs w:val="20"/>
              </w:rPr>
              <w:t>Spain</w:t>
            </w:r>
          </w:p>
        </w:tc>
        <w:tc>
          <w:tcPr>
            <w:tcW w:w="236" w:type="dxa"/>
          </w:tcPr>
          <w:p w:rsidR="006B67F6" w:rsidRPr="00724F7E" w:rsidRDefault="006B67F6" w:rsidP="00CB3BD3">
            <w:pPr>
              <w:jc w:val="center"/>
              <w:rPr>
                <w:sz w:val="20"/>
                <w:szCs w:val="20"/>
              </w:rPr>
            </w:pPr>
          </w:p>
        </w:tc>
        <w:tc>
          <w:tcPr>
            <w:tcW w:w="1361" w:type="dxa"/>
            <w:vAlign w:val="center"/>
          </w:tcPr>
          <w:p w:rsidR="006B67F6" w:rsidRDefault="006B67F6">
            <w:pPr>
              <w:rPr>
                <w:rFonts w:ascii="Calibri" w:hAnsi="Calibri"/>
                <w:color w:val="000000"/>
              </w:rPr>
            </w:pPr>
            <w:r>
              <w:rPr>
                <w:rFonts w:ascii="Calibri" w:hAnsi="Calibri"/>
                <w:color w:val="000000"/>
              </w:rPr>
              <w:t>-1.789</w:t>
            </w:r>
          </w:p>
        </w:tc>
        <w:tc>
          <w:tcPr>
            <w:tcW w:w="236" w:type="dxa"/>
            <w:vAlign w:val="center"/>
          </w:tcPr>
          <w:p w:rsidR="006B67F6" w:rsidRDefault="006B67F6">
            <w:pPr>
              <w:rPr>
                <w:rFonts w:ascii="Calibri" w:hAnsi="Calibri"/>
                <w:color w:val="000000"/>
              </w:rPr>
            </w:pPr>
          </w:p>
        </w:tc>
        <w:tc>
          <w:tcPr>
            <w:tcW w:w="1361" w:type="dxa"/>
            <w:vAlign w:val="center"/>
          </w:tcPr>
          <w:p w:rsidR="006B67F6" w:rsidRDefault="006B67F6">
            <w:pPr>
              <w:rPr>
                <w:rFonts w:ascii="Calibri" w:hAnsi="Calibri"/>
                <w:b/>
                <w:bCs/>
                <w:color w:val="FF0000"/>
              </w:rPr>
            </w:pPr>
            <w:r>
              <w:rPr>
                <w:rFonts w:ascii="Calibri" w:hAnsi="Calibri"/>
                <w:b/>
                <w:bCs/>
                <w:color w:val="FF0000"/>
              </w:rPr>
              <w:t>-0.363 **</w:t>
            </w:r>
          </w:p>
        </w:tc>
        <w:tc>
          <w:tcPr>
            <w:tcW w:w="236" w:type="dxa"/>
            <w:vAlign w:val="center"/>
          </w:tcPr>
          <w:p w:rsidR="006B67F6" w:rsidRDefault="006B67F6">
            <w:pPr>
              <w:rPr>
                <w:rFonts w:ascii="Calibri" w:hAnsi="Calibri"/>
                <w:color w:val="000000"/>
              </w:rPr>
            </w:pPr>
          </w:p>
        </w:tc>
        <w:tc>
          <w:tcPr>
            <w:tcW w:w="1361" w:type="dxa"/>
            <w:vAlign w:val="center"/>
          </w:tcPr>
          <w:p w:rsidR="006B67F6" w:rsidRDefault="006B67F6">
            <w:pPr>
              <w:rPr>
                <w:rFonts w:ascii="Calibri" w:hAnsi="Calibri"/>
                <w:b/>
                <w:bCs/>
                <w:color w:val="FF0000"/>
              </w:rPr>
            </w:pPr>
            <w:r>
              <w:rPr>
                <w:rFonts w:ascii="Calibri" w:hAnsi="Calibri"/>
                <w:b/>
                <w:bCs/>
                <w:color w:val="FF0000"/>
              </w:rPr>
              <w:t>-0.225 *</w:t>
            </w:r>
          </w:p>
        </w:tc>
        <w:tc>
          <w:tcPr>
            <w:tcW w:w="236" w:type="dxa"/>
            <w:vAlign w:val="center"/>
          </w:tcPr>
          <w:p w:rsidR="006B67F6" w:rsidRDefault="006B67F6">
            <w:pPr>
              <w:rPr>
                <w:rFonts w:ascii="Calibri" w:hAnsi="Calibri"/>
                <w:color w:val="000000"/>
              </w:rPr>
            </w:pPr>
          </w:p>
        </w:tc>
        <w:tc>
          <w:tcPr>
            <w:tcW w:w="1361" w:type="dxa"/>
            <w:vAlign w:val="center"/>
          </w:tcPr>
          <w:p w:rsidR="006B67F6" w:rsidRDefault="006B67F6">
            <w:pPr>
              <w:rPr>
                <w:rFonts w:ascii="Calibri" w:hAnsi="Calibri"/>
                <w:color w:val="000000"/>
              </w:rPr>
            </w:pPr>
            <w:r>
              <w:rPr>
                <w:rFonts w:ascii="Calibri" w:hAnsi="Calibri"/>
                <w:color w:val="000000"/>
              </w:rPr>
              <w:t>-0.147</w:t>
            </w:r>
          </w:p>
        </w:tc>
      </w:tr>
      <w:tr w:rsidR="006B67F6" w:rsidRPr="00724F7E" w:rsidTr="00CB3BD3">
        <w:trPr>
          <w:trHeight w:val="254"/>
          <w:jc w:val="center"/>
        </w:trPr>
        <w:tc>
          <w:tcPr>
            <w:tcW w:w="1247" w:type="dxa"/>
            <w:vMerge/>
            <w:vAlign w:val="center"/>
          </w:tcPr>
          <w:p w:rsidR="006B67F6" w:rsidRDefault="006B67F6" w:rsidP="00CB3BD3">
            <w:pPr>
              <w:rPr>
                <w:rFonts w:ascii="Calibri" w:hAnsi="Calibri"/>
                <w:color w:val="000000"/>
                <w:sz w:val="20"/>
                <w:szCs w:val="20"/>
              </w:rPr>
            </w:pPr>
          </w:p>
        </w:tc>
        <w:tc>
          <w:tcPr>
            <w:tcW w:w="236" w:type="dxa"/>
          </w:tcPr>
          <w:p w:rsidR="006B67F6" w:rsidRPr="00724F7E" w:rsidRDefault="006B67F6" w:rsidP="00CB3BD3">
            <w:pPr>
              <w:jc w:val="center"/>
              <w:rPr>
                <w:sz w:val="20"/>
                <w:szCs w:val="20"/>
              </w:rPr>
            </w:pPr>
          </w:p>
        </w:tc>
        <w:tc>
          <w:tcPr>
            <w:tcW w:w="1361" w:type="dxa"/>
            <w:vAlign w:val="center"/>
          </w:tcPr>
          <w:p w:rsidR="006B67F6" w:rsidRDefault="006B67F6">
            <w:pPr>
              <w:jc w:val="right"/>
              <w:rPr>
                <w:rFonts w:ascii="Calibri" w:hAnsi="Calibri"/>
                <w:color w:val="000000"/>
                <w:sz w:val="18"/>
                <w:szCs w:val="18"/>
              </w:rPr>
            </w:pPr>
            <w:r>
              <w:rPr>
                <w:rFonts w:ascii="Calibri" w:hAnsi="Calibri"/>
                <w:color w:val="000000"/>
                <w:sz w:val="18"/>
                <w:szCs w:val="18"/>
              </w:rPr>
              <w:t>0.10%</w:t>
            </w:r>
          </w:p>
        </w:tc>
        <w:tc>
          <w:tcPr>
            <w:tcW w:w="236" w:type="dxa"/>
            <w:vAlign w:val="center"/>
          </w:tcPr>
          <w:p w:rsidR="006B67F6" w:rsidRDefault="006B67F6">
            <w:pPr>
              <w:jc w:val="right"/>
              <w:rPr>
                <w:rFonts w:ascii="Calibri" w:hAnsi="Calibri"/>
                <w:color w:val="000000"/>
                <w:sz w:val="18"/>
                <w:szCs w:val="18"/>
              </w:rPr>
            </w:pPr>
          </w:p>
        </w:tc>
        <w:tc>
          <w:tcPr>
            <w:tcW w:w="1361" w:type="dxa"/>
            <w:vAlign w:val="center"/>
          </w:tcPr>
          <w:p w:rsidR="006B67F6" w:rsidRDefault="006B67F6">
            <w:pPr>
              <w:jc w:val="right"/>
              <w:rPr>
                <w:rFonts w:ascii="Calibri" w:hAnsi="Calibri"/>
                <w:color w:val="000000"/>
                <w:sz w:val="18"/>
                <w:szCs w:val="18"/>
              </w:rPr>
            </w:pPr>
            <w:r>
              <w:rPr>
                <w:rFonts w:ascii="Calibri" w:hAnsi="Calibri"/>
                <w:color w:val="000000"/>
                <w:sz w:val="18"/>
                <w:szCs w:val="18"/>
              </w:rPr>
              <w:t>0.42%</w:t>
            </w:r>
          </w:p>
        </w:tc>
        <w:tc>
          <w:tcPr>
            <w:tcW w:w="236" w:type="dxa"/>
            <w:vAlign w:val="center"/>
          </w:tcPr>
          <w:p w:rsidR="006B67F6" w:rsidRDefault="006B67F6">
            <w:pPr>
              <w:jc w:val="right"/>
              <w:rPr>
                <w:rFonts w:ascii="Calibri" w:hAnsi="Calibri"/>
                <w:color w:val="000000"/>
                <w:sz w:val="18"/>
                <w:szCs w:val="18"/>
              </w:rPr>
            </w:pPr>
          </w:p>
        </w:tc>
        <w:tc>
          <w:tcPr>
            <w:tcW w:w="1361" w:type="dxa"/>
            <w:vAlign w:val="center"/>
          </w:tcPr>
          <w:p w:rsidR="006B67F6" w:rsidRDefault="006B67F6">
            <w:pPr>
              <w:jc w:val="right"/>
              <w:rPr>
                <w:rFonts w:ascii="Calibri" w:hAnsi="Calibri"/>
                <w:color w:val="000000"/>
                <w:sz w:val="18"/>
                <w:szCs w:val="18"/>
              </w:rPr>
            </w:pPr>
            <w:r>
              <w:rPr>
                <w:rFonts w:ascii="Calibri" w:hAnsi="Calibri"/>
                <w:color w:val="000000"/>
                <w:sz w:val="18"/>
                <w:szCs w:val="18"/>
              </w:rPr>
              <w:t>0.86%</w:t>
            </w:r>
          </w:p>
        </w:tc>
        <w:tc>
          <w:tcPr>
            <w:tcW w:w="236" w:type="dxa"/>
            <w:vAlign w:val="center"/>
          </w:tcPr>
          <w:p w:rsidR="006B67F6" w:rsidRDefault="006B67F6">
            <w:pPr>
              <w:jc w:val="right"/>
              <w:rPr>
                <w:rFonts w:ascii="Calibri" w:hAnsi="Calibri"/>
                <w:color w:val="000000"/>
                <w:sz w:val="18"/>
                <w:szCs w:val="18"/>
              </w:rPr>
            </w:pPr>
          </w:p>
        </w:tc>
        <w:tc>
          <w:tcPr>
            <w:tcW w:w="1361" w:type="dxa"/>
            <w:vAlign w:val="center"/>
          </w:tcPr>
          <w:p w:rsidR="006B67F6" w:rsidRDefault="006B67F6">
            <w:pPr>
              <w:jc w:val="right"/>
              <w:rPr>
                <w:rFonts w:ascii="Calibri" w:hAnsi="Calibri"/>
                <w:color w:val="000000"/>
                <w:sz w:val="18"/>
                <w:szCs w:val="18"/>
              </w:rPr>
            </w:pPr>
            <w:r>
              <w:rPr>
                <w:rFonts w:ascii="Calibri" w:hAnsi="Calibri"/>
                <w:color w:val="000000"/>
                <w:sz w:val="18"/>
                <w:szCs w:val="18"/>
              </w:rPr>
              <w:t>0.19%</w:t>
            </w:r>
          </w:p>
        </w:tc>
      </w:tr>
      <w:tr w:rsidR="006B67F6" w:rsidRPr="00724F7E" w:rsidTr="00CB3BD3">
        <w:trPr>
          <w:trHeight w:val="254"/>
          <w:jc w:val="center"/>
        </w:trPr>
        <w:tc>
          <w:tcPr>
            <w:tcW w:w="1247" w:type="dxa"/>
            <w:vMerge w:val="restart"/>
            <w:vAlign w:val="center"/>
          </w:tcPr>
          <w:p w:rsidR="006B67F6" w:rsidRDefault="006B67F6" w:rsidP="00CB3BD3">
            <w:pPr>
              <w:rPr>
                <w:rFonts w:ascii="Calibri" w:hAnsi="Calibri"/>
                <w:color w:val="000000"/>
                <w:sz w:val="20"/>
                <w:szCs w:val="20"/>
              </w:rPr>
            </w:pPr>
            <w:r>
              <w:rPr>
                <w:rFonts w:ascii="Calibri" w:hAnsi="Calibri"/>
                <w:color w:val="000000"/>
                <w:sz w:val="20"/>
                <w:szCs w:val="20"/>
              </w:rPr>
              <w:t>Portugal</w:t>
            </w:r>
          </w:p>
        </w:tc>
        <w:tc>
          <w:tcPr>
            <w:tcW w:w="236" w:type="dxa"/>
          </w:tcPr>
          <w:p w:rsidR="006B67F6" w:rsidRPr="00724F7E" w:rsidRDefault="006B67F6" w:rsidP="00CB3BD3">
            <w:pPr>
              <w:jc w:val="center"/>
              <w:rPr>
                <w:sz w:val="20"/>
                <w:szCs w:val="20"/>
              </w:rPr>
            </w:pPr>
          </w:p>
        </w:tc>
        <w:tc>
          <w:tcPr>
            <w:tcW w:w="1361" w:type="dxa"/>
            <w:vAlign w:val="center"/>
          </w:tcPr>
          <w:p w:rsidR="006B67F6" w:rsidRDefault="006B67F6">
            <w:pPr>
              <w:rPr>
                <w:rFonts w:ascii="Calibri" w:hAnsi="Calibri"/>
                <w:color w:val="000000"/>
              </w:rPr>
            </w:pPr>
            <w:r>
              <w:rPr>
                <w:rFonts w:ascii="Calibri" w:hAnsi="Calibri"/>
                <w:color w:val="000000"/>
              </w:rPr>
              <w:t>-0.473</w:t>
            </w:r>
          </w:p>
        </w:tc>
        <w:tc>
          <w:tcPr>
            <w:tcW w:w="236" w:type="dxa"/>
            <w:vAlign w:val="center"/>
          </w:tcPr>
          <w:p w:rsidR="006B67F6" w:rsidRDefault="006B67F6">
            <w:pPr>
              <w:rPr>
                <w:rFonts w:ascii="Calibri" w:hAnsi="Calibri"/>
                <w:b/>
                <w:bCs/>
                <w:color w:val="FF0000"/>
              </w:rPr>
            </w:pPr>
          </w:p>
        </w:tc>
        <w:tc>
          <w:tcPr>
            <w:tcW w:w="1361" w:type="dxa"/>
            <w:vAlign w:val="center"/>
          </w:tcPr>
          <w:p w:rsidR="006B67F6" w:rsidRDefault="006B67F6">
            <w:pPr>
              <w:rPr>
                <w:rFonts w:ascii="Calibri" w:hAnsi="Calibri"/>
                <w:b/>
                <w:bCs/>
                <w:color w:val="FF0000"/>
              </w:rPr>
            </w:pPr>
            <w:r>
              <w:rPr>
                <w:rFonts w:ascii="Calibri" w:hAnsi="Calibri"/>
                <w:b/>
                <w:bCs/>
                <w:color w:val="FF0000"/>
              </w:rPr>
              <w:t>-0.353 ***</w:t>
            </w:r>
          </w:p>
        </w:tc>
        <w:tc>
          <w:tcPr>
            <w:tcW w:w="236" w:type="dxa"/>
            <w:vAlign w:val="center"/>
          </w:tcPr>
          <w:p w:rsidR="006B67F6" w:rsidRDefault="006B67F6">
            <w:pPr>
              <w:rPr>
                <w:rFonts w:ascii="Calibri" w:hAnsi="Calibri"/>
                <w:color w:val="000000"/>
              </w:rPr>
            </w:pPr>
          </w:p>
        </w:tc>
        <w:tc>
          <w:tcPr>
            <w:tcW w:w="1361" w:type="dxa"/>
            <w:vAlign w:val="center"/>
          </w:tcPr>
          <w:p w:rsidR="006B67F6" w:rsidRDefault="006B67F6">
            <w:pPr>
              <w:rPr>
                <w:rFonts w:ascii="Calibri" w:hAnsi="Calibri"/>
                <w:b/>
                <w:bCs/>
                <w:color w:val="FF0000"/>
              </w:rPr>
            </w:pPr>
            <w:r>
              <w:rPr>
                <w:rFonts w:ascii="Calibri" w:hAnsi="Calibri"/>
                <w:b/>
                <w:bCs/>
                <w:color w:val="FF0000"/>
              </w:rPr>
              <w:t>-0.087 **</w:t>
            </w:r>
          </w:p>
        </w:tc>
        <w:tc>
          <w:tcPr>
            <w:tcW w:w="236" w:type="dxa"/>
            <w:vAlign w:val="center"/>
          </w:tcPr>
          <w:p w:rsidR="006B67F6" w:rsidRDefault="006B67F6">
            <w:pPr>
              <w:rPr>
                <w:rFonts w:ascii="Calibri" w:hAnsi="Calibri"/>
                <w:color w:val="000000"/>
              </w:rPr>
            </w:pPr>
          </w:p>
        </w:tc>
        <w:tc>
          <w:tcPr>
            <w:tcW w:w="1361" w:type="dxa"/>
            <w:vAlign w:val="center"/>
          </w:tcPr>
          <w:p w:rsidR="006B67F6" w:rsidRDefault="006B67F6">
            <w:pPr>
              <w:rPr>
                <w:rFonts w:ascii="Calibri" w:hAnsi="Calibri"/>
                <w:b/>
                <w:bCs/>
                <w:color w:val="548DD4"/>
              </w:rPr>
            </w:pPr>
            <w:r w:rsidRPr="006B67F6">
              <w:rPr>
                <w:rFonts w:ascii="Calibri" w:hAnsi="Calibri"/>
                <w:color w:val="000000"/>
              </w:rPr>
              <w:t>-0.018</w:t>
            </w:r>
          </w:p>
        </w:tc>
      </w:tr>
      <w:tr w:rsidR="006B67F6" w:rsidRPr="00724F7E" w:rsidTr="00CB3BD3">
        <w:trPr>
          <w:trHeight w:val="254"/>
          <w:jc w:val="center"/>
        </w:trPr>
        <w:tc>
          <w:tcPr>
            <w:tcW w:w="1247" w:type="dxa"/>
            <w:vMerge/>
            <w:vAlign w:val="center"/>
          </w:tcPr>
          <w:p w:rsidR="006B67F6" w:rsidRDefault="006B67F6" w:rsidP="00CB3BD3">
            <w:pPr>
              <w:rPr>
                <w:rFonts w:ascii="Calibri" w:hAnsi="Calibri"/>
                <w:color w:val="000000"/>
                <w:sz w:val="20"/>
                <w:szCs w:val="20"/>
              </w:rPr>
            </w:pPr>
          </w:p>
        </w:tc>
        <w:tc>
          <w:tcPr>
            <w:tcW w:w="236" w:type="dxa"/>
          </w:tcPr>
          <w:p w:rsidR="006B67F6" w:rsidRPr="00724F7E" w:rsidRDefault="006B67F6" w:rsidP="00CB3BD3">
            <w:pPr>
              <w:jc w:val="center"/>
              <w:rPr>
                <w:sz w:val="20"/>
                <w:szCs w:val="20"/>
              </w:rPr>
            </w:pPr>
          </w:p>
        </w:tc>
        <w:tc>
          <w:tcPr>
            <w:tcW w:w="1361" w:type="dxa"/>
            <w:vAlign w:val="center"/>
          </w:tcPr>
          <w:p w:rsidR="006B67F6" w:rsidRDefault="006B67F6">
            <w:pPr>
              <w:jc w:val="right"/>
              <w:rPr>
                <w:rFonts w:ascii="Calibri" w:hAnsi="Calibri"/>
                <w:color w:val="000000"/>
                <w:sz w:val="18"/>
                <w:szCs w:val="18"/>
              </w:rPr>
            </w:pPr>
            <w:r>
              <w:rPr>
                <w:rFonts w:ascii="Calibri" w:hAnsi="Calibri"/>
                <w:color w:val="000000"/>
                <w:sz w:val="18"/>
                <w:szCs w:val="18"/>
              </w:rPr>
              <w:t>0.00%</w:t>
            </w:r>
          </w:p>
        </w:tc>
        <w:tc>
          <w:tcPr>
            <w:tcW w:w="236" w:type="dxa"/>
            <w:vAlign w:val="center"/>
          </w:tcPr>
          <w:p w:rsidR="006B67F6" w:rsidRDefault="006B67F6">
            <w:pPr>
              <w:jc w:val="right"/>
              <w:rPr>
                <w:rFonts w:ascii="Calibri" w:hAnsi="Calibri"/>
                <w:color w:val="000000"/>
                <w:sz w:val="18"/>
                <w:szCs w:val="18"/>
              </w:rPr>
            </w:pPr>
          </w:p>
        </w:tc>
        <w:tc>
          <w:tcPr>
            <w:tcW w:w="1361" w:type="dxa"/>
            <w:vAlign w:val="center"/>
          </w:tcPr>
          <w:p w:rsidR="006B67F6" w:rsidRDefault="006B67F6">
            <w:pPr>
              <w:jc w:val="right"/>
              <w:rPr>
                <w:rFonts w:ascii="Calibri" w:hAnsi="Calibri"/>
                <w:color w:val="000000"/>
                <w:sz w:val="18"/>
                <w:szCs w:val="18"/>
              </w:rPr>
            </w:pPr>
            <w:r>
              <w:rPr>
                <w:rFonts w:ascii="Calibri" w:hAnsi="Calibri"/>
                <w:color w:val="000000"/>
                <w:sz w:val="18"/>
                <w:szCs w:val="18"/>
              </w:rPr>
              <w:t>0.67%</w:t>
            </w:r>
          </w:p>
        </w:tc>
        <w:tc>
          <w:tcPr>
            <w:tcW w:w="236" w:type="dxa"/>
            <w:vAlign w:val="center"/>
          </w:tcPr>
          <w:p w:rsidR="006B67F6" w:rsidRDefault="006B67F6">
            <w:pPr>
              <w:jc w:val="right"/>
              <w:rPr>
                <w:rFonts w:ascii="Calibri" w:hAnsi="Calibri"/>
                <w:color w:val="000000"/>
                <w:sz w:val="18"/>
                <w:szCs w:val="18"/>
              </w:rPr>
            </w:pPr>
          </w:p>
        </w:tc>
        <w:tc>
          <w:tcPr>
            <w:tcW w:w="1361" w:type="dxa"/>
            <w:vAlign w:val="center"/>
          </w:tcPr>
          <w:p w:rsidR="006B67F6" w:rsidRDefault="006B67F6">
            <w:pPr>
              <w:jc w:val="right"/>
              <w:rPr>
                <w:rFonts w:ascii="Calibri" w:hAnsi="Calibri"/>
                <w:color w:val="000000"/>
                <w:sz w:val="18"/>
                <w:szCs w:val="18"/>
              </w:rPr>
            </w:pPr>
            <w:r>
              <w:rPr>
                <w:rFonts w:ascii="Calibri" w:hAnsi="Calibri"/>
                <w:color w:val="000000"/>
                <w:sz w:val="18"/>
                <w:szCs w:val="18"/>
              </w:rPr>
              <w:t>1.07%</w:t>
            </w:r>
          </w:p>
        </w:tc>
        <w:tc>
          <w:tcPr>
            <w:tcW w:w="236" w:type="dxa"/>
            <w:vAlign w:val="center"/>
          </w:tcPr>
          <w:p w:rsidR="006B67F6" w:rsidRDefault="006B67F6">
            <w:pPr>
              <w:jc w:val="right"/>
              <w:rPr>
                <w:rFonts w:ascii="Calibri" w:hAnsi="Calibri"/>
                <w:color w:val="000000"/>
                <w:sz w:val="18"/>
                <w:szCs w:val="18"/>
              </w:rPr>
            </w:pPr>
          </w:p>
        </w:tc>
        <w:tc>
          <w:tcPr>
            <w:tcW w:w="1361" w:type="dxa"/>
            <w:vAlign w:val="center"/>
          </w:tcPr>
          <w:p w:rsidR="006B67F6" w:rsidRDefault="006B67F6">
            <w:pPr>
              <w:jc w:val="right"/>
              <w:rPr>
                <w:rFonts w:ascii="Calibri" w:hAnsi="Calibri"/>
                <w:color w:val="000000"/>
                <w:sz w:val="18"/>
                <w:szCs w:val="18"/>
              </w:rPr>
            </w:pPr>
            <w:r>
              <w:rPr>
                <w:rFonts w:ascii="Calibri" w:hAnsi="Calibri"/>
                <w:color w:val="000000"/>
                <w:sz w:val="18"/>
                <w:szCs w:val="18"/>
              </w:rPr>
              <w:t>0.09%</w:t>
            </w:r>
          </w:p>
        </w:tc>
      </w:tr>
      <w:tr w:rsidR="006B67F6" w:rsidRPr="00724F7E" w:rsidTr="00CB3BD3">
        <w:trPr>
          <w:trHeight w:val="254"/>
          <w:jc w:val="center"/>
        </w:trPr>
        <w:tc>
          <w:tcPr>
            <w:tcW w:w="1247" w:type="dxa"/>
            <w:vMerge w:val="restart"/>
            <w:vAlign w:val="center"/>
          </w:tcPr>
          <w:p w:rsidR="006B67F6" w:rsidRDefault="006B67F6" w:rsidP="00CB3BD3">
            <w:pPr>
              <w:rPr>
                <w:rFonts w:ascii="Calibri" w:hAnsi="Calibri"/>
                <w:color w:val="000000"/>
                <w:sz w:val="20"/>
                <w:szCs w:val="20"/>
              </w:rPr>
            </w:pPr>
            <w:r>
              <w:rPr>
                <w:rFonts w:ascii="Calibri" w:hAnsi="Calibri"/>
                <w:color w:val="000000"/>
                <w:sz w:val="20"/>
                <w:szCs w:val="20"/>
              </w:rPr>
              <w:t>Ireland</w:t>
            </w:r>
          </w:p>
        </w:tc>
        <w:tc>
          <w:tcPr>
            <w:tcW w:w="236" w:type="dxa"/>
          </w:tcPr>
          <w:p w:rsidR="006B67F6" w:rsidRPr="00724F7E" w:rsidRDefault="006B67F6" w:rsidP="00CB3BD3">
            <w:pPr>
              <w:jc w:val="center"/>
              <w:rPr>
                <w:sz w:val="20"/>
                <w:szCs w:val="20"/>
              </w:rPr>
            </w:pPr>
          </w:p>
        </w:tc>
        <w:tc>
          <w:tcPr>
            <w:tcW w:w="1361" w:type="dxa"/>
            <w:vAlign w:val="center"/>
          </w:tcPr>
          <w:p w:rsidR="006B67F6" w:rsidRDefault="006B67F6">
            <w:pPr>
              <w:rPr>
                <w:rFonts w:ascii="Calibri" w:hAnsi="Calibri"/>
                <w:color w:val="000000"/>
              </w:rPr>
            </w:pPr>
            <w:r>
              <w:rPr>
                <w:rFonts w:ascii="Calibri" w:hAnsi="Calibri"/>
                <w:color w:val="000000"/>
              </w:rPr>
              <w:t>NA</w:t>
            </w:r>
          </w:p>
        </w:tc>
        <w:tc>
          <w:tcPr>
            <w:tcW w:w="236" w:type="dxa"/>
            <w:vAlign w:val="center"/>
          </w:tcPr>
          <w:p w:rsidR="006B67F6" w:rsidRDefault="006B67F6">
            <w:pPr>
              <w:rPr>
                <w:rFonts w:ascii="Calibri" w:hAnsi="Calibri"/>
                <w:b/>
                <w:bCs/>
                <w:color w:val="FF0000"/>
              </w:rPr>
            </w:pPr>
          </w:p>
        </w:tc>
        <w:tc>
          <w:tcPr>
            <w:tcW w:w="1361" w:type="dxa"/>
            <w:vAlign w:val="center"/>
          </w:tcPr>
          <w:p w:rsidR="006B67F6" w:rsidRDefault="006B67F6">
            <w:pPr>
              <w:rPr>
                <w:rFonts w:ascii="Calibri" w:hAnsi="Calibri"/>
                <w:b/>
                <w:bCs/>
                <w:color w:val="FF0000"/>
              </w:rPr>
            </w:pPr>
            <w:r>
              <w:rPr>
                <w:rFonts w:ascii="Calibri" w:hAnsi="Calibri"/>
                <w:b/>
                <w:bCs/>
                <w:color w:val="FF0000"/>
              </w:rPr>
              <w:t>-0.286 **</w:t>
            </w:r>
          </w:p>
        </w:tc>
        <w:tc>
          <w:tcPr>
            <w:tcW w:w="236" w:type="dxa"/>
            <w:vAlign w:val="center"/>
          </w:tcPr>
          <w:p w:rsidR="006B67F6" w:rsidRDefault="006B67F6">
            <w:pPr>
              <w:rPr>
                <w:rFonts w:ascii="Calibri" w:hAnsi="Calibri"/>
                <w:color w:val="000000"/>
              </w:rPr>
            </w:pPr>
          </w:p>
        </w:tc>
        <w:tc>
          <w:tcPr>
            <w:tcW w:w="1361" w:type="dxa"/>
            <w:vAlign w:val="center"/>
          </w:tcPr>
          <w:p w:rsidR="006B67F6" w:rsidRDefault="006B67F6">
            <w:pPr>
              <w:rPr>
                <w:rFonts w:ascii="Calibri" w:hAnsi="Calibri"/>
                <w:b/>
                <w:bCs/>
                <w:color w:val="FF0000"/>
              </w:rPr>
            </w:pPr>
            <w:r>
              <w:rPr>
                <w:rFonts w:ascii="Calibri" w:hAnsi="Calibri"/>
                <w:b/>
                <w:bCs/>
                <w:color w:val="FF0000"/>
              </w:rPr>
              <w:t>-0.185 ***</w:t>
            </w:r>
          </w:p>
        </w:tc>
        <w:tc>
          <w:tcPr>
            <w:tcW w:w="236" w:type="dxa"/>
            <w:vAlign w:val="center"/>
          </w:tcPr>
          <w:p w:rsidR="006B67F6" w:rsidRDefault="006B67F6">
            <w:pPr>
              <w:rPr>
                <w:rFonts w:ascii="Calibri" w:hAnsi="Calibri"/>
                <w:color w:val="000000"/>
              </w:rPr>
            </w:pPr>
          </w:p>
        </w:tc>
        <w:tc>
          <w:tcPr>
            <w:tcW w:w="1361" w:type="dxa"/>
            <w:vAlign w:val="center"/>
          </w:tcPr>
          <w:p w:rsidR="006B67F6" w:rsidRDefault="006B67F6">
            <w:pPr>
              <w:rPr>
                <w:rFonts w:ascii="Calibri" w:hAnsi="Calibri"/>
                <w:color w:val="000000"/>
              </w:rPr>
            </w:pPr>
            <w:r>
              <w:rPr>
                <w:rFonts w:ascii="Calibri" w:hAnsi="Calibri"/>
                <w:color w:val="000000"/>
              </w:rPr>
              <w:t>0.002</w:t>
            </w:r>
          </w:p>
        </w:tc>
      </w:tr>
      <w:tr w:rsidR="006B67F6" w:rsidRPr="009E2934" w:rsidTr="00CB3BD3">
        <w:trPr>
          <w:trHeight w:val="254"/>
          <w:jc w:val="center"/>
        </w:trPr>
        <w:tc>
          <w:tcPr>
            <w:tcW w:w="1247" w:type="dxa"/>
            <w:vMerge/>
            <w:vAlign w:val="center"/>
          </w:tcPr>
          <w:p w:rsidR="006B67F6" w:rsidRDefault="006B67F6" w:rsidP="00CB3BD3">
            <w:pPr>
              <w:rPr>
                <w:rFonts w:ascii="Calibri" w:hAnsi="Calibri"/>
                <w:color w:val="000000"/>
                <w:sz w:val="20"/>
                <w:szCs w:val="20"/>
              </w:rPr>
            </w:pPr>
          </w:p>
        </w:tc>
        <w:tc>
          <w:tcPr>
            <w:tcW w:w="236" w:type="dxa"/>
          </w:tcPr>
          <w:p w:rsidR="006B67F6" w:rsidRPr="00724F7E" w:rsidRDefault="006B67F6" w:rsidP="00CB3BD3">
            <w:pPr>
              <w:jc w:val="center"/>
              <w:rPr>
                <w:sz w:val="20"/>
                <w:szCs w:val="20"/>
              </w:rPr>
            </w:pPr>
          </w:p>
        </w:tc>
        <w:tc>
          <w:tcPr>
            <w:tcW w:w="1361" w:type="dxa"/>
            <w:vAlign w:val="center"/>
          </w:tcPr>
          <w:p w:rsidR="006B67F6" w:rsidRDefault="006B67F6">
            <w:pPr>
              <w:jc w:val="right"/>
              <w:rPr>
                <w:rFonts w:ascii="Calibri" w:hAnsi="Calibri"/>
                <w:color w:val="000000"/>
                <w:sz w:val="18"/>
                <w:szCs w:val="18"/>
              </w:rPr>
            </w:pPr>
            <w:r>
              <w:rPr>
                <w:rFonts w:ascii="Calibri" w:hAnsi="Calibri"/>
                <w:color w:val="000000"/>
                <w:sz w:val="18"/>
                <w:szCs w:val="18"/>
              </w:rPr>
              <w:t>NA</w:t>
            </w:r>
          </w:p>
        </w:tc>
        <w:tc>
          <w:tcPr>
            <w:tcW w:w="236" w:type="dxa"/>
            <w:vAlign w:val="center"/>
          </w:tcPr>
          <w:p w:rsidR="006B67F6" w:rsidRDefault="006B67F6">
            <w:pPr>
              <w:jc w:val="right"/>
              <w:rPr>
                <w:rFonts w:ascii="Calibri" w:hAnsi="Calibri"/>
                <w:color w:val="000000"/>
                <w:sz w:val="18"/>
                <w:szCs w:val="18"/>
              </w:rPr>
            </w:pPr>
          </w:p>
        </w:tc>
        <w:tc>
          <w:tcPr>
            <w:tcW w:w="1361" w:type="dxa"/>
            <w:vAlign w:val="center"/>
          </w:tcPr>
          <w:p w:rsidR="006B67F6" w:rsidRDefault="006B67F6">
            <w:pPr>
              <w:jc w:val="right"/>
              <w:rPr>
                <w:rFonts w:ascii="Calibri" w:hAnsi="Calibri"/>
                <w:color w:val="000000"/>
                <w:sz w:val="18"/>
                <w:szCs w:val="18"/>
              </w:rPr>
            </w:pPr>
            <w:r>
              <w:rPr>
                <w:rFonts w:ascii="Calibri" w:hAnsi="Calibri"/>
                <w:color w:val="000000"/>
                <w:sz w:val="18"/>
                <w:szCs w:val="18"/>
              </w:rPr>
              <w:t>1.17%</w:t>
            </w:r>
          </w:p>
        </w:tc>
        <w:tc>
          <w:tcPr>
            <w:tcW w:w="236" w:type="dxa"/>
            <w:vAlign w:val="center"/>
          </w:tcPr>
          <w:p w:rsidR="006B67F6" w:rsidRDefault="006B67F6">
            <w:pPr>
              <w:jc w:val="right"/>
              <w:rPr>
                <w:rFonts w:ascii="Calibri" w:hAnsi="Calibri"/>
                <w:color w:val="000000"/>
                <w:sz w:val="18"/>
                <w:szCs w:val="18"/>
              </w:rPr>
            </w:pPr>
          </w:p>
        </w:tc>
        <w:tc>
          <w:tcPr>
            <w:tcW w:w="1361" w:type="dxa"/>
            <w:vAlign w:val="center"/>
          </w:tcPr>
          <w:p w:rsidR="006B67F6" w:rsidRDefault="006B67F6">
            <w:pPr>
              <w:jc w:val="right"/>
              <w:rPr>
                <w:rFonts w:ascii="Calibri" w:hAnsi="Calibri"/>
                <w:color w:val="000000"/>
                <w:sz w:val="18"/>
                <w:szCs w:val="18"/>
              </w:rPr>
            </w:pPr>
            <w:r>
              <w:rPr>
                <w:rFonts w:ascii="Calibri" w:hAnsi="Calibri"/>
                <w:color w:val="000000"/>
                <w:sz w:val="18"/>
                <w:szCs w:val="18"/>
              </w:rPr>
              <w:t>3.84%</w:t>
            </w:r>
          </w:p>
        </w:tc>
        <w:tc>
          <w:tcPr>
            <w:tcW w:w="236" w:type="dxa"/>
            <w:vAlign w:val="center"/>
          </w:tcPr>
          <w:p w:rsidR="006B67F6" w:rsidRDefault="006B67F6">
            <w:pPr>
              <w:jc w:val="right"/>
              <w:rPr>
                <w:rFonts w:ascii="Calibri" w:hAnsi="Calibri"/>
                <w:color w:val="000000"/>
                <w:sz w:val="18"/>
                <w:szCs w:val="18"/>
              </w:rPr>
            </w:pPr>
          </w:p>
        </w:tc>
        <w:tc>
          <w:tcPr>
            <w:tcW w:w="1361" w:type="dxa"/>
            <w:vAlign w:val="center"/>
          </w:tcPr>
          <w:p w:rsidR="006B67F6" w:rsidRDefault="006B67F6">
            <w:pPr>
              <w:jc w:val="right"/>
              <w:rPr>
                <w:rFonts w:ascii="Calibri" w:hAnsi="Calibri"/>
                <w:color w:val="000000"/>
                <w:sz w:val="18"/>
                <w:szCs w:val="18"/>
              </w:rPr>
            </w:pPr>
            <w:r>
              <w:rPr>
                <w:rFonts w:ascii="Calibri" w:hAnsi="Calibri"/>
                <w:color w:val="000000"/>
                <w:sz w:val="18"/>
                <w:szCs w:val="18"/>
              </w:rPr>
              <w:t>-0.02%</w:t>
            </w:r>
          </w:p>
        </w:tc>
      </w:tr>
      <w:tr w:rsidR="006B67F6" w:rsidRPr="00724F7E" w:rsidTr="00CB3BD3">
        <w:trPr>
          <w:trHeight w:val="254"/>
          <w:jc w:val="center"/>
        </w:trPr>
        <w:tc>
          <w:tcPr>
            <w:tcW w:w="1247" w:type="dxa"/>
            <w:vMerge w:val="restart"/>
            <w:vAlign w:val="center"/>
          </w:tcPr>
          <w:p w:rsidR="006B67F6" w:rsidRDefault="006B67F6" w:rsidP="00CB3BD3">
            <w:pPr>
              <w:rPr>
                <w:rFonts w:ascii="Calibri" w:hAnsi="Calibri"/>
                <w:color w:val="000000"/>
                <w:sz w:val="20"/>
                <w:szCs w:val="20"/>
              </w:rPr>
            </w:pPr>
            <w:r>
              <w:rPr>
                <w:rFonts w:ascii="Calibri" w:hAnsi="Calibri"/>
                <w:color w:val="000000"/>
                <w:sz w:val="20"/>
                <w:szCs w:val="20"/>
              </w:rPr>
              <w:t>Greece</w:t>
            </w:r>
          </w:p>
        </w:tc>
        <w:tc>
          <w:tcPr>
            <w:tcW w:w="236" w:type="dxa"/>
          </w:tcPr>
          <w:p w:rsidR="006B67F6" w:rsidRPr="00724F7E" w:rsidRDefault="006B67F6" w:rsidP="00CB3BD3">
            <w:pPr>
              <w:jc w:val="center"/>
              <w:rPr>
                <w:sz w:val="20"/>
                <w:szCs w:val="20"/>
              </w:rPr>
            </w:pPr>
          </w:p>
        </w:tc>
        <w:tc>
          <w:tcPr>
            <w:tcW w:w="1361" w:type="dxa"/>
            <w:vAlign w:val="center"/>
          </w:tcPr>
          <w:p w:rsidR="006B67F6" w:rsidRDefault="006B67F6">
            <w:pPr>
              <w:rPr>
                <w:rFonts w:ascii="Calibri" w:hAnsi="Calibri"/>
                <w:color w:val="000000"/>
              </w:rPr>
            </w:pPr>
            <w:r>
              <w:rPr>
                <w:rFonts w:ascii="Calibri" w:hAnsi="Calibri"/>
                <w:color w:val="000000"/>
              </w:rPr>
              <w:t>-0.653</w:t>
            </w:r>
          </w:p>
        </w:tc>
        <w:tc>
          <w:tcPr>
            <w:tcW w:w="236" w:type="dxa"/>
            <w:vAlign w:val="center"/>
          </w:tcPr>
          <w:p w:rsidR="006B67F6" w:rsidRDefault="006B67F6">
            <w:pPr>
              <w:rPr>
                <w:rFonts w:ascii="Calibri" w:hAnsi="Calibri"/>
                <w:color w:val="000000"/>
              </w:rPr>
            </w:pPr>
          </w:p>
        </w:tc>
        <w:tc>
          <w:tcPr>
            <w:tcW w:w="1361" w:type="dxa"/>
            <w:vAlign w:val="center"/>
          </w:tcPr>
          <w:p w:rsidR="006B67F6" w:rsidRDefault="006B67F6">
            <w:pPr>
              <w:rPr>
                <w:rFonts w:ascii="Calibri" w:hAnsi="Calibri"/>
                <w:b/>
                <w:bCs/>
                <w:color w:val="FF0000"/>
              </w:rPr>
            </w:pPr>
            <w:r>
              <w:rPr>
                <w:rFonts w:ascii="Calibri" w:hAnsi="Calibri"/>
                <w:b/>
                <w:bCs/>
                <w:color w:val="FF0000"/>
              </w:rPr>
              <w:t>-0.090 **</w:t>
            </w:r>
          </w:p>
        </w:tc>
        <w:tc>
          <w:tcPr>
            <w:tcW w:w="236" w:type="dxa"/>
            <w:vAlign w:val="center"/>
          </w:tcPr>
          <w:p w:rsidR="006B67F6" w:rsidRDefault="006B67F6">
            <w:pPr>
              <w:rPr>
                <w:rFonts w:ascii="Calibri" w:hAnsi="Calibri"/>
                <w:color w:val="000000"/>
              </w:rPr>
            </w:pPr>
          </w:p>
        </w:tc>
        <w:tc>
          <w:tcPr>
            <w:tcW w:w="1361" w:type="dxa"/>
            <w:vAlign w:val="center"/>
          </w:tcPr>
          <w:p w:rsidR="006B67F6" w:rsidRDefault="006B67F6">
            <w:pPr>
              <w:rPr>
                <w:rFonts w:ascii="Calibri" w:hAnsi="Calibri"/>
                <w:b/>
                <w:bCs/>
                <w:color w:val="FF0000"/>
              </w:rPr>
            </w:pPr>
            <w:r>
              <w:rPr>
                <w:rFonts w:ascii="Calibri" w:hAnsi="Calibri"/>
                <w:b/>
                <w:bCs/>
                <w:color w:val="FF0000"/>
              </w:rPr>
              <w:t>-0.074 ***</w:t>
            </w:r>
          </w:p>
        </w:tc>
        <w:tc>
          <w:tcPr>
            <w:tcW w:w="236" w:type="dxa"/>
            <w:vAlign w:val="center"/>
          </w:tcPr>
          <w:p w:rsidR="006B67F6" w:rsidRDefault="006B67F6">
            <w:pPr>
              <w:rPr>
                <w:rFonts w:ascii="Calibri" w:hAnsi="Calibri"/>
                <w:color w:val="000000"/>
              </w:rPr>
            </w:pPr>
          </w:p>
        </w:tc>
        <w:tc>
          <w:tcPr>
            <w:tcW w:w="1361" w:type="dxa"/>
            <w:vAlign w:val="center"/>
          </w:tcPr>
          <w:p w:rsidR="006B67F6" w:rsidRDefault="006B67F6">
            <w:pPr>
              <w:rPr>
                <w:rFonts w:ascii="Calibri" w:hAnsi="Calibri"/>
                <w:color w:val="000000"/>
              </w:rPr>
            </w:pPr>
            <w:r>
              <w:rPr>
                <w:rFonts w:ascii="Calibri" w:hAnsi="Calibri"/>
                <w:color w:val="000000"/>
              </w:rPr>
              <w:t>NA</w:t>
            </w:r>
          </w:p>
        </w:tc>
      </w:tr>
      <w:tr w:rsidR="006B67F6" w:rsidRPr="009E2934" w:rsidTr="00CB3BD3">
        <w:trPr>
          <w:trHeight w:val="254"/>
          <w:jc w:val="center"/>
        </w:trPr>
        <w:tc>
          <w:tcPr>
            <w:tcW w:w="1247" w:type="dxa"/>
            <w:vMerge/>
            <w:tcBorders>
              <w:bottom w:val="single" w:sz="4" w:space="0" w:color="auto"/>
            </w:tcBorders>
            <w:vAlign w:val="center"/>
          </w:tcPr>
          <w:p w:rsidR="006B67F6" w:rsidRDefault="006B67F6" w:rsidP="00CB3BD3">
            <w:pPr>
              <w:rPr>
                <w:rFonts w:ascii="Calibri" w:hAnsi="Calibri"/>
                <w:color w:val="000000"/>
                <w:sz w:val="20"/>
                <w:szCs w:val="20"/>
              </w:rPr>
            </w:pPr>
          </w:p>
        </w:tc>
        <w:tc>
          <w:tcPr>
            <w:tcW w:w="236" w:type="dxa"/>
            <w:tcBorders>
              <w:bottom w:val="single" w:sz="4" w:space="0" w:color="auto"/>
            </w:tcBorders>
          </w:tcPr>
          <w:p w:rsidR="006B67F6" w:rsidRPr="00724F7E" w:rsidRDefault="006B67F6" w:rsidP="00CB3BD3">
            <w:pPr>
              <w:jc w:val="center"/>
              <w:rPr>
                <w:sz w:val="20"/>
                <w:szCs w:val="20"/>
              </w:rPr>
            </w:pPr>
          </w:p>
        </w:tc>
        <w:tc>
          <w:tcPr>
            <w:tcW w:w="1361" w:type="dxa"/>
            <w:tcBorders>
              <w:bottom w:val="single" w:sz="4" w:space="0" w:color="auto"/>
            </w:tcBorders>
            <w:vAlign w:val="center"/>
          </w:tcPr>
          <w:p w:rsidR="006B67F6" w:rsidRDefault="006B67F6">
            <w:pPr>
              <w:jc w:val="right"/>
              <w:rPr>
                <w:rFonts w:ascii="Calibri" w:hAnsi="Calibri"/>
                <w:color w:val="000000"/>
                <w:sz w:val="18"/>
                <w:szCs w:val="18"/>
              </w:rPr>
            </w:pPr>
            <w:r>
              <w:rPr>
                <w:rFonts w:ascii="Calibri" w:hAnsi="Calibri"/>
                <w:color w:val="000000"/>
                <w:sz w:val="18"/>
                <w:szCs w:val="18"/>
              </w:rPr>
              <w:t>0.02%</w:t>
            </w:r>
          </w:p>
        </w:tc>
        <w:tc>
          <w:tcPr>
            <w:tcW w:w="236" w:type="dxa"/>
            <w:tcBorders>
              <w:bottom w:val="single" w:sz="4" w:space="0" w:color="auto"/>
            </w:tcBorders>
            <w:vAlign w:val="center"/>
          </w:tcPr>
          <w:p w:rsidR="006B67F6" w:rsidRDefault="006B67F6">
            <w:pPr>
              <w:jc w:val="right"/>
              <w:rPr>
                <w:rFonts w:ascii="Calibri" w:hAnsi="Calibri"/>
                <w:color w:val="000000"/>
                <w:sz w:val="18"/>
                <w:szCs w:val="18"/>
              </w:rPr>
            </w:pPr>
            <w:r>
              <w:rPr>
                <w:rFonts w:ascii="Calibri" w:hAnsi="Calibri"/>
                <w:color w:val="000000"/>
                <w:sz w:val="18"/>
                <w:szCs w:val="18"/>
              </w:rPr>
              <w:t> </w:t>
            </w:r>
          </w:p>
        </w:tc>
        <w:tc>
          <w:tcPr>
            <w:tcW w:w="1361" w:type="dxa"/>
            <w:tcBorders>
              <w:bottom w:val="single" w:sz="4" w:space="0" w:color="auto"/>
            </w:tcBorders>
            <w:vAlign w:val="center"/>
          </w:tcPr>
          <w:p w:rsidR="006B67F6" w:rsidRDefault="006B67F6">
            <w:pPr>
              <w:jc w:val="right"/>
              <w:rPr>
                <w:rFonts w:ascii="Calibri" w:hAnsi="Calibri"/>
                <w:color w:val="000000"/>
                <w:sz w:val="18"/>
                <w:szCs w:val="18"/>
              </w:rPr>
            </w:pPr>
            <w:r>
              <w:rPr>
                <w:rFonts w:ascii="Calibri" w:hAnsi="Calibri"/>
                <w:color w:val="000000"/>
                <w:sz w:val="18"/>
                <w:szCs w:val="18"/>
              </w:rPr>
              <w:t>0.59%</w:t>
            </w:r>
          </w:p>
        </w:tc>
        <w:tc>
          <w:tcPr>
            <w:tcW w:w="236" w:type="dxa"/>
            <w:tcBorders>
              <w:bottom w:val="single" w:sz="4" w:space="0" w:color="auto"/>
            </w:tcBorders>
            <w:vAlign w:val="center"/>
          </w:tcPr>
          <w:p w:rsidR="006B67F6" w:rsidRDefault="006B67F6">
            <w:pPr>
              <w:jc w:val="right"/>
              <w:rPr>
                <w:rFonts w:ascii="Calibri" w:hAnsi="Calibri"/>
                <w:color w:val="000000"/>
                <w:sz w:val="18"/>
                <w:szCs w:val="18"/>
              </w:rPr>
            </w:pPr>
            <w:r>
              <w:rPr>
                <w:rFonts w:ascii="Calibri" w:hAnsi="Calibri"/>
                <w:color w:val="000000"/>
                <w:sz w:val="18"/>
                <w:szCs w:val="18"/>
              </w:rPr>
              <w:t> </w:t>
            </w:r>
          </w:p>
        </w:tc>
        <w:tc>
          <w:tcPr>
            <w:tcW w:w="1361" w:type="dxa"/>
            <w:tcBorders>
              <w:bottom w:val="single" w:sz="4" w:space="0" w:color="auto"/>
            </w:tcBorders>
            <w:vAlign w:val="center"/>
          </w:tcPr>
          <w:p w:rsidR="006B67F6" w:rsidRDefault="006B67F6">
            <w:pPr>
              <w:jc w:val="right"/>
              <w:rPr>
                <w:rFonts w:ascii="Calibri" w:hAnsi="Calibri"/>
                <w:color w:val="000000"/>
                <w:sz w:val="18"/>
                <w:szCs w:val="18"/>
              </w:rPr>
            </w:pPr>
            <w:r>
              <w:rPr>
                <w:rFonts w:ascii="Calibri" w:hAnsi="Calibri"/>
                <w:color w:val="000000"/>
                <w:sz w:val="18"/>
                <w:szCs w:val="18"/>
              </w:rPr>
              <w:t>1.27%</w:t>
            </w:r>
          </w:p>
        </w:tc>
        <w:tc>
          <w:tcPr>
            <w:tcW w:w="236" w:type="dxa"/>
            <w:tcBorders>
              <w:bottom w:val="single" w:sz="4" w:space="0" w:color="auto"/>
            </w:tcBorders>
            <w:vAlign w:val="center"/>
          </w:tcPr>
          <w:p w:rsidR="006B67F6" w:rsidRDefault="006B67F6">
            <w:pPr>
              <w:jc w:val="right"/>
              <w:rPr>
                <w:rFonts w:ascii="Calibri" w:hAnsi="Calibri"/>
                <w:color w:val="000000"/>
                <w:sz w:val="18"/>
                <w:szCs w:val="18"/>
              </w:rPr>
            </w:pPr>
            <w:r>
              <w:rPr>
                <w:rFonts w:ascii="Calibri" w:hAnsi="Calibri"/>
                <w:color w:val="000000"/>
                <w:sz w:val="18"/>
                <w:szCs w:val="18"/>
              </w:rPr>
              <w:t> </w:t>
            </w:r>
          </w:p>
        </w:tc>
        <w:tc>
          <w:tcPr>
            <w:tcW w:w="1361" w:type="dxa"/>
            <w:tcBorders>
              <w:bottom w:val="single" w:sz="4" w:space="0" w:color="auto"/>
            </w:tcBorders>
            <w:vAlign w:val="center"/>
          </w:tcPr>
          <w:p w:rsidR="006B67F6" w:rsidRDefault="006B67F6">
            <w:pPr>
              <w:jc w:val="right"/>
              <w:rPr>
                <w:rFonts w:ascii="Calibri" w:hAnsi="Calibri"/>
                <w:color w:val="000000"/>
                <w:sz w:val="18"/>
                <w:szCs w:val="18"/>
              </w:rPr>
            </w:pPr>
            <w:r>
              <w:rPr>
                <w:rFonts w:ascii="Calibri" w:hAnsi="Calibri"/>
                <w:color w:val="000000"/>
                <w:sz w:val="18"/>
                <w:szCs w:val="18"/>
              </w:rPr>
              <w:t>NA</w:t>
            </w:r>
          </w:p>
        </w:tc>
      </w:tr>
    </w:tbl>
    <w:p w:rsidR="00A10954" w:rsidRDefault="00A10954" w:rsidP="00A10954">
      <w:pPr>
        <w:tabs>
          <w:tab w:val="left" w:pos="1190"/>
        </w:tabs>
      </w:pPr>
    </w:p>
    <w:p w:rsidR="00A10954" w:rsidRDefault="00A10954" w:rsidP="00A10954"/>
    <w:p w:rsidR="00A10954" w:rsidRDefault="00A10954" w:rsidP="00A10954">
      <w:pPr>
        <w:sectPr w:rsidR="00A10954" w:rsidSect="00CB3BD3">
          <w:footnotePr>
            <w:numRestart w:val="eachSect"/>
          </w:footnotePr>
          <w:pgSz w:w="11906" w:h="16838"/>
          <w:pgMar w:top="1440" w:right="1440" w:bottom="1440" w:left="1440" w:header="708" w:footer="708" w:gutter="0"/>
          <w:cols w:space="708"/>
          <w:docGrid w:linePitch="360"/>
        </w:sectPr>
      </w:pPr>
    </w:p>
    <w:tbl>
      <w:tblPr>
        <w:tblStyle w:val="Grigliatabella"/>
        <w:tblW w:w="1437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61"/>
        <w:gridCol w:w="236"/>
        <w:gridCol w:w="1361"/>
        <w:gridCol w:w="236"/>
        <w:gridCol w:w="1361"/>
        <w:gridCol w:w="236"/>
        <w:gridCol w:w="1361"/>
        <w:gridCol w:w="236"/>
        <w:gridCol w:w="1361"/>
        <w:gridCol w:w="236"/>
        <w:gridCol w:w="236"/>
        <w:gridCol w:w="1361"/>
        <w:gridCol w:w="236"/>
        <w:gridCol w:w="1361"/>
        <w:gridCol w:w="236"/>
        <w:gridCol w:w="1361"/>
        <w:gridCol w:w="236"/>
        <w:gridCol w:w="1365"/>
      </w:tblGrid>
      <w:tr w:rsidR="00A10954" w:rsidRPr="00CE5797" w:rsidTr="00CB3BD3">
        <w:trPr>
          <w:trHeight w:val="20"/>
          <w:jc w:val="center"/>
        </w:trPr>
        <w:tc>
          <w:tcPr>
            <w:tcW w:w="14377" w:type="dxa"/>
            <w:gridSpan w:val="18"/>
            <w:vAlign w:val="center"/>
          </w:tcPr>
          <w:p w:rsidR="00A10954" w:rsidRPr="00CE5797" w:rsidRDefault="0031689C" w:rsidP="00CB3BD3">
            <w:pPr>
              <w:jc w:val="center"/>
              <w:rPr>
                <w:b/>
                <w:sz w:val="18"/>
                <w:szCs w:val="20"/>
              </w:rPr>
            </w:pPr>
            <w:r>
              <w:rPr>
                <w:b/>
                <w:sz w:val="18"/>
                <w:szCs w:val="20"/>
              </w:rPr>
              <w:lastRenderedPageBreak/>
              <w:t>Table V</w:t>
            </w:r>
            <w:r w:rsidR="003713E8">
              <w:rPr>
                <w:b/>
                <w:sz w:val="18"/>
                <w:szCs w:val="20"/>
              </w:rPr>
              <w:t>I</w:t>
            </w:r>
          </w:p>
          <w:p w:rsidR="00A10954" w:rsidRPr="00CE5797" w:rsidRDefault="00497EC0" w:rsidP="0025269F">
            <w:pPr>
              <w:jc w:val="center"/>
              <w:rPr>
                <w:sz w:val="18"/>
                <w:szCs w:val="20"/>
              </w:rPr>
            </w:pPr>
            <w:r>
              <w:rPr>
                <w:b/>
                <w:sz w:val="18"/>
                <w:szCs w:val="20"/>
              </w:rPr>
              <w:t>Determinants of Excess Sovereign Bond Returns by Country Group</w:t>
            </w:r>
          </w:p>
        </w:tc>
      </w:tr>
      <w:tr w:rsidR="00A10954" w:rsidRPr="00CE5797" w:rsidTr="00CB3BD3">
        <w:trPr>
          <w:trHeight w:val="20"/>
          <w:jc w:val="center"/>
        </w:trPr>
        <w:tc>
          <w:tcPr>
            <w:tcW w:w="14377" w:type="dxa"/>
            <w:gridSpan w:val="18"/>
            <w:tcBorders>
              <w:bottom w:val="single" w:sz="4" w:space="0" w:color="auto"/>
            </w:tcBorders>
            <w:vAlign w:val="center"/>
          </w:tcPr>
          <w:p w:rsidR="00A10954" w:rsidRDefault="00A10954" w:rsidP="00CB3BD3">
            <w:pPr>
              <w:rPr>
                <w:rFonts w:eastAsiaTheme="minorEastAsia"/>
                <w:sz w:val="18"/>
                <w:szCs w:val="20"/>
              </w:rPr>
            </w:pPr>
            <w:r w:rsidRPr="00CE5797">
              <w:rPr>
                <w:sz w:val="18"/>
                <w:szCs w:val="20"/>
              </w:rPr>
              <w:t>This table reports pooled regression coefficients for</w:t>
            </w:r>
            <w:r w:rsidR="00497EC0">
              <w:rPr>
                <w:sz w:val="18"/>
                <w:szCs w:val="20"/>
              </w:rPr>
              <w:t xml:space="preserve"> the following </w:t>
            </w:r>
            <w:r w:rsidRPr="00CE5797">
              <w:rPr>
                <w:sz w:val="18"/>
                <w:szCs w:val="20"/>
              </w:rPr>
              <w:t>model:</w:t>
            </w:r>
          </w:p>
          <w:p w:rsidR="00A10954" w:rsidRPr="007E6A0D" w:rsidRDefault="00CE06E1" w:rsidP="00CB3BD3">
            <w:pPr>
              <w:jc w:val="center"/>
              <w:rPr>
                <w:rFonts w:eastAsiaTheme="minorEastAsia"/>
                <w:sz w:val="20"/>
                <w:szCs w:val="20"/>
              </w:rPr>
            </w:pPr>
            <m:oMathPara>
              <m:oMath>
                <m:sSub>
                  <m:sSubPr>
                    <m:ctrlPr>
                      <w:rPr>
                        <w:rFonts w:ascii="Cambria Math" w:hAnsi="Cambria Math"/>
                        <w:i/>
                        <w:sz w:val="20"/>
                        <w:szCs w:val="20"/>
                      </w:rPr>
                    </m:ctrlPr>
                  </m:sSubPr>
                  <m:e>
                    <m:r>
                      <w:rPr>
                        <w:rFonts w:ascii="Cambria Math" w:hAnsi="Cambria Math"/>
                        <w:sz w:val="20"/>
                        <w:szCs w:val="20"/>
                      </w:rPr>
                      <m:t>RB</m:t>
                    </m:r>
                  </m:e>
                  <m:sub>
                    <m:r>
                      <w:rPr>
                        <w:rFonts w:ascii="Cambria Math" w:hAnsi="Cambria Math"/>
                        <w:sz w:val="20"/>
                        <w:szCs w:val="20"/>
                      </w:rPr>
                      <m:t>i,cr,t</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RECB</m:t>
                    </m:r>
                  </m:e>
                  <m:sub>
                    <m:r>
                      <w:rPr>
                        <w:rFonts w:ascii="Cambria Math" w:hAnsi="Cambria Math"/>
                        <w:sz w:val="20"/>
                        <w:szCs w:val="20"/>
                      </w:rPr>
                      <m:t>t</m:t>
                    </m:r>
                  </m:sub>
                </m:sSub>
                <m:r>
                  <w:rPr>
                    <w:rFonts w:ascii="Cambria Math" w:hAnsi="Cambria Math"/>
                    <w:sz w:val="20"/>
                    <w:szCs w:val="20"/>
                  </w:rPr>
                  <m:t>=c+</m:t>
                </m:r>
                <m:sSub>
                  <m:sSubPr>
                    <m:ctrlPr>
                      <w:rPr>
                        <w:rFonts w:ascii="Cambria Math" w:hAnsi="Cambria Math"/>
                        <w:i/>
                        <w:sz w:val="20"/>
                        <w:szCs w:val="20"/>
                      </w:rPr>
                    </m:ctrlPr>
                  </m:sSubPr>
                  <m:e>
                    <m:r>
                      <w:rPr>
                        <w:rFonts w:ascii="Cambria Math" w:hAnsi="Cambria Math"/>
                        <w:sz w:val="20"/>
                        <w:szCs w:val="20"/>
                      </w:rPr>
                      <m:t>β</m:t>
                    </m:r>
                  </m:e>
                  <m:sub>
                    <m:r>
                      <w:rPr>
                        <w:rFonts w:ascii="Cambria Math" w:hAnsi="Cambria Math"/>
                        <w:sz w:val="20"/>
                        <w:szCs w:val="20"/>
                      </w:rPr>
                      <m:t>EQT</m:t>
                    </m:r>
                  </m:sub>
                </m:sSub>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EQT</m:t>
                        </m:r>
                      </m:e>
                      <m:sub>
                        <m:r>
                          <w:rPr>
                            <w:rFonts w:ascii="Cambria Math" w:hAnsi="Cambria Math"/>
                            <w:sz w:val="20"/>
                            <w:szCs w:val="20"/>
                          </w:rPr>
                          <m:t>i,cr,t</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RECB</m:t>
                        </m:r>
                      </m:e>
                      <m:sub>
                        <m:r>
                          <w:rPr>
                            <w:rFonts w:ascii="Cambria Math" w:hAnsi="Cambria Math"/>
                            <w:sz w:val="20"/>
                            <w:szCs w:val="20"/>
                          </w:rPr>
                          <m:t>t</m:t>
                        </m:r>
                      </m:sub>
                    </m:sSub>
                  </m:e>
                </m:d>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β</m:t>
                    </m:r>
                  </m:e>
                  <m:sub>
                    <m:r>
                      <w:rPr>
                        <w:rFonts w:ascii="Cambria Math" w:hAnsi="Cambria Math"/>
                        <w:sz w:val="20"/>
                        <w:szCs w:val="20"/>
                      </w:rPr>
                      <m:t>CDS</m:t>
                    </m:r>
                  </m:sub>
                </m:sSub>
                <m:sSub>
                  <m:sSubPr>
                    <m:ctrlPr>
                      <w:rPr>
                        <w:rFonts w:ascii="Cambria Math" w:hAnsi="Cambria Math"/>
                        <w:i/>
                        <w:sz w:val="20"/>
                        <w:szCs w:val="20"/>
                      </w:rPr>
                    </m:ctrlPr>
                  </m:sSubPr>
                  <m:e>
                    <m:r>
                      <w:rPr>
                        <w:rFonts w:ascii="Cambria Math" w:hAnsi="Cambria Math"/>
                        <w:sz w:val="20"/>
                        <w:szCs w:val="20"/>
                      </w:rPr>
                      <m:t>∆CDS</m:t>
                    </m:r>
                  </m:e>
                  <m:sub>
                    <m:r>
                      <w:rPr>
                        <w:rFonts w:ascii="Cambria Math" w:hAnsi="Cambria Math"/>
                        <w:sz w:val="20"/>
                        <w:szCs w:val="20"/>
                      </w:rPr>
                      <m:t>cr,t</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β</m:t>
                    </m:r>
                  </m:e>
                  <m:sub>
                    <m:r>
                      <w:rPr>
                        <w:rFonts w:ascii="Cambria Math" w:hAnsi="Cambria Math"/>
                        <w:sz w:val="20"/>
                        <w:szCs w:val="20"/>
                      </w:rPr>
                      <m:t>SPR</m:t>
                    </m:r>
                  </m:sub>
                </m:sSub>
                <m:sSub>
                  <m:sSubPr>
                    <m:ctrlPr>
                      <w:rPr>
                        <w:rFonts w:ascii="Cambria Math" w:hAnsi="Cambria Math"/>
                        <w:i/>
                        <w:sz w:val="20"/>
                        <w:szCs w:val="20"/>
                      </w:rPr>
                    </m:ctrlPr>
                  </m:sSubPr>
                  <m:e>
                    <m:r>
                      <w:rPr>
                        <w:rFonts w:ascii="Cambria Math" w:hAnsi="Cambria Math"/>
                        <w:sz w:val="20"/>
                        <w:szCs w:val="20"/>
                      </w:rPr>
                      <m:t>∆Spr</m:t>
                    </m:r>
                  </m:e>
                  <m:sub>
                    <m:r>
                      <w:rPr>
                        <w:rFonts w:ascii="Cambria Math" w:hAnsi="Cambria Math"/>
                        <w:sz w:val="20"/>
                        <w:szCs w:val="20"/>
                      </w:rPr>
                      <m:t>i,cr,t</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ε</m:t>
                    </m:r>
                  </m:e>
                  <m:sub>
                    <m:r>
                      <w:rPr>
                        <w:rFonts w:ascii="Cambria Math" w:hAnsi="Cambria Math"/>
                        <w:sz w:val="20"/>
                        <w:szCs w:val="20"/>
                      </w:rPr>
                      <m:t>i,cr,t</m:t>
                    </m:r>
                  </m:sub>
                </m:sSub>
                <m:r>
                  <w:rPr>
                    <w:rFonts w:ascii="Cambria Math" w:hAnsi="Cambria Math"/>
                    <w:sz w:val="20"/>
                    <w:szCs w:val="20"/>
                  </w:rPr>
                  <m:t xml:space="preserve">  </m:t>
                </m:r>
              </m:oMath>
            </m:oMathPara>
          </w:p>
          <w:p w:rsidR="00A10954" w:rsidRPr="00CE5797" w:rsidRDefault="00A10954" w:rsidP="00497EC0">
            <w:pPr>
              <w:jc w:val="both"/>
              <w:rPr>
                <w:sz w:val="18"/>
                <w:szCs w:val="20"/>
              </w:rPr>
            </w:pPr>
            <w:r w:rsidRPr="00CE5797">
              <w:rPr>
                <w:sz w:val="18"/>
                <w:szCs w:val="20"/>
              </w:rPr>
              <w:t xml:space="preserve">where </w:t>
            </w:r>
            <m:oMath>
              <m:sSub>
                <m:sSubPr>
                  <m:ctrlPr>
                    <w:rPr>
                      <w:rFonts w:ascii="Cambria Math" w:hAnsi="Cambria Math"/>
                      <w:sz w:val="18"/>
                      <w:szCs w:val="20"/>
                    </w:rPr>
                  </m:ctrlPr>
                </m:sSubPr>
                <m:e>
                  <m:r>
                    <m:rPr>
                      <m:sty m:val="p"/>
                    </m:rPr>
                    <w:rPr>
                      <w:rFonts w:ascii="Cambria Math" w:hAnsi="Cambria Math"/>
                      <w:sz w:val="18"/>
                      <w:szCs w:val="20"/>
                    </w:rPr>
                    <m:t>RB</m:t>
                  </m:r>
                </m:e>
                <m:sub>
                  <m:r>
                    <m:rPr>
                      <m:sty m:val="p"/>
                    </m:rPr>
                    <w:rPr>
                      <w:rFonts w:ascii="Cambria Math" w:hAnsi="Cambria Math"/>
                      <w:sz w:val="18"/>
                      <w:szCs w:val="20"/>
                    </w:rPr>
                    <m:t>i,c,t</m:t>
                  </m:r>
                </m:sub>
              </m:sSub>
            </m:oMath>
            <w:r w:rsidRPr="00CE5797">
              <w:rPr>
                <w:sz w:val="18"/>
                <w:szCs w:val="20"/>
              </w:rPr>
              <w:t xml:space="preserve"> denotes the mid-price return for bond </w:t>
            </w:r>
            <m:oMath>
              <m:r>
                <m:rPr>
                  <m:sty m:val="p"/>
                </m:rPr>
                <w:rPr>
                  <w:rFonts w:ascii="Cambria Math" w:hAnsi="Cambria Math"/>
                  <w:sz w:val="18"/>
                  <w:szCs w:val="20"/>
                </w:rPr>
                <m:t>i</m:t>
              </m:r>
            </m:oMath>
            <w:r w:rsidRPr="00CE5797">
              <w:rPr>
                <w:sz w:val="18"/>
                <w:szCs w:val="20"/>
              </w:rPr>
              <w:t xml:space="preserve"> issued by country </w:t>
            </w:r>
            <m:oMath>
              <m:r>
                <m:rPr>
                  <m:sty m:val="p"/>
                </m:rPr>
                <w:rPr>
                  <w:rFonts w:ascii="Cambria Math" w:hAnsi="Cambria Math"/>
                  <w:sz w:val="18"/>
                  <w:szCs w:val="20"/>
                </w:rPr>
                <m:t>c</m:t>
              </m:r>
            </m:oMath>
            <w:r w:rsidRPr="00CE5797">
              <w:rPr>
                <w:sz w:val="18"/>
                <w:szCs w:val="20"/>
              </w:rPr>
              <w:t xml:space="preserve"> at time </w:t>
            </w:r>
            <m:oMath>
              <m:r>
                <m:rPr>
                  <m:sty m:val="p"/>
                </m:rPr>
                <w:rPr>
                  <w:rFonts w:ascii="Cambria Math" w:hAnsi="Cambria Math"/>
                  <w:sz w:val="18"/>
                  <w:szCs w:val="20"/>
                </w:rPr>
                <m:t>t</m:t>
              </m:r>
            </m:oMath>
            <w:r w:rsidRPr="00CE5797">
              <w:rPr>
                <w:sz w:val="18"/>
                <w:szCs w:val="20"/>
              </w:rPr>
              <w:t xml:space="preserve">, </w:t>
            </w:r>
            <m:oMath>
              <m:sSub>
                <m:sSubPr>
                  <m:ctrlPr>
                    <w:rPr>
                      <w:rFonts w:ascii="Cambria Math" w:hAnsi="Cambria Math"/>
                      <w:sz w:val="18"/>
                      <w:szCs w:val="20"/>
                    </w:rPr>
                  </m:ctrlPr>
                </m:sSubPr>
                <m:e>
                  <m:r>
                    <m:rPr>
                      <m:sty m:val="p"/>
                    </m:rPr>
                    <w:rPr>
                      <w:rFonts w:ascii="Cambria Math" w:hAnsi="Cambria Math"/>
                      <w:sz w:val="18"/>
                      <w:szCs w:val="20"/>
                    </w:rPr>
                    <m:t>RECB</m:t>
                  </m:r>
                </m:e>
                <m:sub>
                  <m:r>
                    <m:rPr>
                      <m:sty m:val="p"/>
                    </m:rPr>
                    <w:rPr>
                      <w:rFonts w:ascii="Cambria Math" w:hAnsi="Cambria Math"/>
                      <w:sz w:val="18"/>
                      <w:szCs w:val="20"/>
                    </w:rPr>
                    <m:t>t</m:t>
                  </m:r>
                </m:sub>
              </m:sSub>
            </m:oMath>
            <w:r w:rsidRPr="00CE5797">
              <w:rPr>
                <w:sz w:val="18"/>
                <w:szCs w:val="20"/>
              </w:rPr>
              <w:t xml:space="preserve"> represents the 3 month ECB yield taken at the beginning of the period, </w:t>
            </w:r>
            <m:oMath>
              <m:sSub>
                <m:sSubPr>
                  <m:ctrlPr>
                    <w:rPr>
                      <w:rFonts w:ascii="Cambria Math" w:hAnsi="Cambria Math"/>
                      <w:sz w:val="18"/>
                      <w:szCs w:val="20"/>
                    </w:rPr>
                  </m:ctrlPr>
                </m:sSubPr>
                <m:e>
                  <m:r>
                    <m:rPr>
                      <m:sty m:val="p"/>
                    </m:rPr>
                    <w:rPr>
                      <w:rFonts w:ascii="Cambria Math" w:hAnsi="Cambria Math"/>
                      <w:sz w:val="18"/>
                      <w:szCs w:val="20"/>
                    </w:rPr>
                    <m:t>EQT</m:t>
                  </m:r>
                </m:e>
                <m:sub>
                  <m:r>
                    <m:rPr>
                      <m:sty m:val="p"/>
                    </m:rPr>
                    <w:rPr>
                      <w:rFonts w:ascii="Cambria Math" w:hAnsi="Cambria Math"/>
                      <w:sz w:val="18"/>
                      <w:szCs w:val="20"/>
                    </w:rPr>
                    <m:t>i,c,t</m:t>
                  </m:r>
                </m:sub>
              </m:sSub>
            </m:oMath>
            <w:r w:rsidRPr="00CE5797">
              <w:rPr>
                <w:sz w:val="18"/>
                <w:szCs w:val="20"/>
              </w:rPr>
              <w:t xml:space="preserve"> is the country specific stock index return,</w:t>
            </w:r>
            <m:oMath>
              <m:r>
                <m:rPr>
                  <m:sty m:val="p"/>
                </m:rPr>
                <w:rPr>
                  <w:rFonts w:ascii="Cambria Math" w:hAnsi="Cambria Math"/>
                  <w:sz w:val="18"/>
                  <w:szCs w:val="20"/>
                </w:rPr>
                <m:t xml:space="preserve"> </m:t>
              </m:r>
              <m:sSub>
                <m:sSubPr>
                  <m:ctrlPr>
                    <w:rPr>
                      <w:rFonts w:ascii="Cambria Math" w:hAnsi="Cambria Math"/>
                      <w:sz w:val="18"/>
                      <w:szCs w:val="20"/>
                    </w:rPr>
                  </m:ctrlPr>
                </m:sSubPr>
                <m:e>
                  <m:r>
                    <m:rPr>
                      <m:sty m:val="p"/>
                    </m:rPr>
                    <w:rPr>
                      <w:rFonts w:ascii="Cambria Math" w:hAnsi="Cambria Math"/>
                      <w:sz w:val="18"/>
                      <w:szCs w:val="20"/>
                    </w:rPr>
                    <m:t>∆CDS</m:t>
                  </m:r>
                </m:e>
                <m:sub>
                  <m:r>
                    <m:rPr>
                      <m:sty m:val="p"/>
                    </m:rPr>
                    <w:rPr>
                      <w:rFonts w:ascii="Cambria Math" w:hAnsi="Cambria Math"/>
                      <w:sz w:val="18"/>
                      <w:szCs w:val="20"/>
                    </w:rPr>
                    <m:t>c,t</m:t>
                  </m:r>
                </m:sub>
              </m:sSub>
            </m:oMath>
            <w:r w:rsidRPr="00CE5797">
              <w:rPr>
                <w:sz w:val="18"/>
                <w:szCs w:val="20"/>
              </w:rPr>
              <w:t xml:space="preserve"> is the change in country specific 5 year CDS spreads,</w:t>
            </w:r>
            <m:oMath>
              <m:r>
                <m:rPr>
                  <m:sty m:val="p"/>
                </m:rPr>
                <w:rPr>
                  <w:rFonts w:ascii="Cambria Math" w:hAnsi="Cambria Math"/>
                  <w:sz w:val="18"/>
                  <w:szCs w:val="20"/>
                </w:rPr>
                <m:t xml:space="preserve"> </m:t>
              </m:r>
              <m:sSub>
                <m:sSubPr>
                  <m:ctrlPr>
                    <w:rPr>
                      <w:rFonts w:ascii="Cambria Math" w:hAnsi="Cambria Math"/>
                      <w:sz w:val="18"/>
                      <w:szCs w:val="20"/>
                    </w:rPr>
                  </m:ctrlPr>
                </m:sSubPr>
                <m:e>
                  <m:r>
                    <m:rPr>
                      <m:sty m:val="p"/>
                    </m:rPr>
                    <w:rPr>
                      <w:rFonts w:ascii="Cambria Math" w:hAnsi="Cambria Math"/>
                      <w:sz w:val="18"/>
                      <w:szCs w:val="20"/>
                    </w:rPr>
                    <m:t>∆Spr</m:t>
                  </m:r>
                </m:e>
                <m:sub>
                  <m:r>
                    <m:rPr>
                      <m:sty m:val="p"/>
                    </m:rPr>
                    <w:rPr>
                      <w:rFonts w:ascii="Cambria Math" w:hAnsi="Cambria Math"/>
                      <w:sz w:val="18"/>
                      <w:szCs w:val="20"/>
                    </w:rPr>
                    <m:t>i,c,t</m:t>
                  </m:r>
                </m:sub>
              </m:sSub>
            </m:oMath>
            <w:r w:rsidRPr="00CE5797">
              <w:rPr>
                <w:sz w:val="18"/>
                <w:szCs w:val="20"/>
              </w:rPr>
              <w:t xml:space="preserve"> is the change in bond specific </w:t>
            </w:r>
            <w:r w:rsidR="00497EC0">
              <w:rPr>
                <w:sz w:val="18"/>
                <w:szCs w:val="20"/>
              </w:rPr>
              <w:t>percentage bid-ask spread</w:t>
            </w:r>
            <w:r w:rsidR="008C2FFB">
              <w:rPr>
                <w:sz w:val="18"/>
                <w:szCs w:val="20"/>
              </w:rPr>
              <w:t>.</w:t>
            </w:r>
            <w:r w:rsidRPr="00CE5797">
              <w:rPr>
                <w:sz w:val="18"/>
                <w:szCs w:val="20"/>
              </w:rPr>
              <w:t xml:space="preserve"> </w:t>
            </w:r>
            <w:r w:rsidR="00497EC0">
              <w:rPr>
                <w:sz w:val="18"/>
                <w:szCs w:val="20"/>
              </w:rPr>
              <w:t xml:space="preserve">We employ daily observations. </w:t>
            </w:r>
            <w:r w:rsidR="00A11843" w:rsidRPr="00A11843">
              <w:rPr>
                <w:sz w:val="18"/>
                <w:szCs w:val="20"/>
              </w:rPr>
              <w:t>For each sub-period, regressions</w:t>
            </w:r>
            <w:r w:rsidRPr="00CE5797">
              <w:rPr>
                <w:sz w:val="18"/>
                <w:szCs w:val="20"/>
              </w:rPr>
              <w:t xml:space="preserve"> variables are winsorized at 1% - 99% taking into account all time-series observations and demeaned at the bond level. </w:t>
            </w:r>
            <w:r w:rsidRPr="00CE5797">
              <w:rPr>
                <w:rFonts w:ascii="Calibri" w:hAnsi="Calibri"/>
                <w:color w:val="000000"/>
                <w:sz w:val="18"/>
                <w:szCs w:val="20"/>
              </w:rPr>
              <w:t>Sub-periods are 01 Apr 2003 to 31 Aug 2007 for the pre-crisis period, 01 Sep 2007 and 31 Dec 2009 for the subprime crisis period and the sovereign crisis period is split into two parts, 01 Jan 2010 to 30 Dec 2011 and between 01 Jan 201</w:t>
            </w:r>
            <w:r w:rsidR="00661E8C">
              <w:rPr>
                <w:rFonts w:ascii="Calibri" w:hAnsi="Calibri"/>
                <w:color w:val="000000"/>
                <w:sz w:val="18"/>
                <w:szCs w:val="20"/>
              </w:rPr>
              <w:t>2</w:t>
            </w:r>
            <w:r w:rsidRPr="00CE5797">
              <w:rPr>
                <w:rFonts w:ascii="Calibri" w:hAnsi="Calibri"/>
                <w:color w:val="000000"/>
                <w:sz w:val="18"/>
                <w:szCs w:val="20"/>
              </w:rPr>
              <w:t xml:space="preserve"> to 31 Dec 2013, respectively. </w:t>
            </w:r>
            <w:r w:rsidRPr="00CE5797">
              <w:rPr>
                <w:sz w:val="18"/>
                <w:szCs w:val="20"/>
              </w:rPr>
              <w:t xml:space="preserve">White cross-section standard errors &amp; covariance are used. </w:t>
            </w:r>
            <w:r w:rsidRPr="00CE5797">
              <w:rPr>
                <w:rFonts w:ascii="Cambria Math" w:hAnsi="Cambria Math" w:cs="Cambria Math"/>
                <w:sz w:val="18"/>
                <w:szCs w:val="20"/>
              </w:rPr>
              <w:t>∗∗∗</w:t>
            </w:r>
            <w:r w:rsidRPr="00CE5797">
              <w:rPr>
                <w:sz w:val="18"/>
                <w:szCs w:val="20"/>
              </w:rPr>
              <w:t xml:space="preserve">, </w:t>
            </w:r>
            <w:r w:rsidRPr="00CE5797">
              <w:rPr>
                <w:rFonts w:ascii="Cambria Math" w:hAnsi="Cambria Math" w:cs="Cambria Math"/>
                <w:sz w:val="18"/>
                <w:szCs w:val="20"/>
              </w:rPr>
              <w:t>∗∗</w:t>
            </w:r>
            <w:r w:rsidRPr="00CE5797">
              <w:rPr>
                <w:sz w:val="18"/>
                <w:szCs w:val="20"/>
              </w:rPr>
              <w:t xml:space="preserve">, and </w:t>
            </w:r>
            <w:r w:rsidRPr="00CE5797">
              <w:rPr>
                <w:rFonts w:ascii="Cambria Math" w:hAnsi="Cambria Math" w:cs="Cambria Math"/>
                <w:sz w:val="18"/>
                <w:szCs w:val="20"/>
              </w:rPr>
              <w:t>∗</w:t>
            </w:r>
            <w:r w:rsidRPr="00CE5797">
              <w:rPr>
                <w:sz w:val="18"/>
                <w:szCs w:val="20"/>
              </w:rPr>
              <w:t xml:space="preserve"> represent statistical significance at the 1%, 5%, and 10% level, respectively. For brevity, the coefficients for the constant are not reported. </w:t>
            </w:r>
            <w:r w:rsidR="00A567F0">
              <w:rPr>
                <w:sz w:val="18"/>
                <w:szCs w:val="20"/>
              </w:rPr>
              <w:t>[Andrei, highlighted results are out of line with findings in univariate regressions]</w:t>
            </w:r>
          </w:p>
        </w:tc>
      </w:tr>
      <w:tr w:rsidR="00A10954" w:rsidRPr="00CE5797" w:rsidTr="00CB3BD3">
        <w:trPr>
          <w:trHeight w:val="397"/>
          <w:jc w:val="center"/>
        </w:trPr>
        <w:tc>
          <w:tcPr>
            <w:tcW w:w="1361" w:type="dxa"/>
            <w:tcBorders>
              <w:top w:val="single" w:sz="4" w:space="0" w:color="auto"/>
              <w:bottom w:val="single" w:sz="4" w:space="0" w:color="auto"/>
            </w:tcBorders>
            <w:vAlign w:val="center"/>
          </w:tcPr>
          <w:p w:rsidR="00A10954" w:rsidRPr="00CE5797" w:rsidRDefault="00A10954" w:rsidP="00CB3BD3">
            <w:pPr>
              <w:jc w:val="center"/>
              <w:rPr>
                <w:sz w:val="18"/>
                <w:szCs w:val="20"/>
              </w:rPr>
            </w:pPr>
          </w:p>
        </w:tc>
        <w:tc>
          <w:tcPr>
            <w:tcW w:w="236" w:type="dxa"/>
            <w:tcBorders>
              <w:top w:val="single" w:sz="4" w:space="0" w:color="auto"/>
              <w:bottom w:val="single" w:sz="4" w:space="0" w:color="auto"/>
            </w:tcBorders>
            <w:vAlign w:val="center"/>
          </w:tcPr>
          <w:p w:rsidR="00A10954" w:rsidRPr="00CE5797" w:rsidRDefault="00A10954" w:rsidP="00CB3BD3">
            <w:pPr>
              <w:jc w:val="center"/>
              <w:rPr>
                <w:sz w:val="18"/>
                <w:szCs w:val="20"/>
              </w:rPr>
            </w:pPr>
          </w:p>
        </w:tc>
        <w:tc>
          <w:tcPr>
            <w:tcW w:w="6152" w:type="dxa"/>
            <w:gridSpan w:val="7"/>
            <w:tcBorders>
              <w:top w:val="single" w:sz="4" w:space="0" w:color="auto"/>
              <w:bottom w:val="single" w:sz="4" w:space="0" w:color="auto"/>
            </w:tcBorders>
            <w:vAlign w:val="center"/>
          </w:tcPr>
          <w:p w:rsidR="00A10954" w:rsidRPr="00CE5797" w:rsidRDefault="00A10954" w:rsidP="00E52CE0">
            <w:pPr>
              <w:jc w:val="center"/>
              <w:rPr>
                <w:sz w:val="18"/>
                <w:szCs w:val="20"/>
              </w:rPr>
            </w:pPr>
            <w:r w:rsidRPr="00CE5797">
              <w:rPr>
                <w:sz w:val="18"/>
                <w:szCs w:val="20"/>
              </w:rPr>
              <w:t xml:space="preserve">Panel A: </w:t>
            </w:r>
            <w:r w:rsidR="00E52CE0">
              <w:rPr>
                <w:sz w:val="18"/>
                <w:szCs w:val="20"/>
              </w:rPr>
              <w:t>Low Risk</w:t>
            </w:r>
            <w:r w:rsidRPr="00CE5797">
              <w:rPr>
                <w:sz w:val="18"/>
                <w:szCs w:val="20"/>
              </w:rPr>
              <w:t xml:space="preserve"> Countries (Germany, Netherlands and Finland)</w:t>
            </w:r>
          </w:p>
        </w:tc>
        <w:tc>
          <w:tcPr>
            <w:tcW w:w="236" w:type="dxa"/>
            <w:tcBorders>
              <w:top w:val="single" w:sz="4" w:space="0" w:color="auto"/>
              <w:bottom w:val="single" w:sz="4" w:space="0" w:color="auto"/>
            </w:tcBorders>
            <w:vAlign w:val="center"/>
          </w:tcPr>
          <w:p w:rsidR="00A10954" w:rsidRPr="00CE5797" w:rsidRDefault="00A10954" w:rsidP="00CB3BD3">
            <w:pPr>
              <w:jc w:val="center"/>
              <w:rPr>
                <w:sz w:val="18"/>
                <w:szCs w:val="20"/>
              </w:rPr>
            </w:pPr>
          </w:p>
        </w:tc>
        <w:tc>
          <w:tcPr>
            <w:tcW w:w="236" w:type="dxa"/>
            <w:tcBorders>
              <w:top w:val="single" w:sz="4" w:space="0" w:color="auto"/>
              <w:bottom w:val="single" w:sz="4" w:space="0" w:color="auto"/>
            </w:tcBorders>
            <w:vAlign w:val="center"/>
          </w:tcPr>
          <w:p w:rsidR="00A10954" w:rsidRPr="00CE5797" w:rsidRDefault="00A10954" w:rsidP="00CB3BD3">
            <w:pPr>
              <w:jc w:val="center"/>
              <w:rPr>
                <w:sz w:val="18"/>
                <w:szCs w:val="20"/>
              </w:rPr>
            </w:pPr>
          </w:p>
        </w:tc>
        <w:tc>
          <w:tcPr>
            <w:tcW w:w="6156" w:type="dxa"/>
            <w:gridSpan w:val="7"/>
            <w:tcBorders>
              <w:top w:val="single" w:sz="4" w:space="0" w:color="auto"/>
              <w:bottom w:val="single" w:sz="4" w:space="0" w:color="auto"/>
            </w:tcBorders>
            <w:vAlign w:val="center"/>
          </w:tcPr>
          <w:p w:rsidR="00A10954" w:rsidRPr="00CE5797" w:rsidRDefault="00A10954" w:rsidP="00E52CE0">
            <w:pPr>
              <w:jc w:val="center"/>
              <w:rPr>
                <w:sz w:val="18"/>
                <w:szCs w:val="20"/>
              </w:rPr>
            </w:pPr>
            <w:r w:rsidRPr="00CE5797">
              <w:rPr>
                <w:sz w:val="18"/>
                <w:szCs w:val="20"/>
              </w:rPr>
              <w:t xml:space="preserve">Panel B: </w:t>
            </w:r>
            <w:r w:rsidR="00E52CE0">
              <w:rPr>
                <w:sz w:val="18"/>
                <w:szCs w:val="20"/>
              </w:rPr>
              <w:t>Medium Risk</w:t>
            </w:r>
            <w:r w:rsidRPr="00CE5797">
              <w:rPr>
                <w:sz w:val="18"/>
                <w:szCs w:val="20"/>
              </w:rPr>
              <w:t xml:space="preserve"> Countries (France, Austria and Belgium)</w:t>
            </w:r>
          </w:p>
        </w:tc>
      </w:tr>
      <w:tr w:rsidR="00A10954" w:rsidRPr="00CE5797" w:rsidTr="00CB3BD3">
        <w:trPr>
          <w:trHeight w:val="20"/>
          <w:jc w:val="center"/>
        </w:trPr>
        <w:tc>
          <w:tcPr>
            <w:tcW w:w="1361" w:type="dxa"/>
            <w:tcBorders>
              <w:top w:val="single" w:sz="4" w:space="0" w:color="auto"/>
            </w:tcBorders>
            <w:vAlign w:val="center"/>
          </w:tcPr>
          <w:p w:rsidR="00A10954" w:rsidRPr="00CE5797" w:rsidRDefault="00A10954" w:rsidP="00CB3BD3">
            <w:pPr>
              <w:jc w:val="center"/>
              <w:rPr>
                <w:sz w:val="18"/>
                <w:szCs w:val="20"/>
              </w:rPr>
            </w:pPr>
            <w:r w:rsidRPr="00CE5797">
              <w:rPr>
                <w:sz w:val="18"/>
                <w:szCs w:val="20"/>
              </w:rPr>
              <w:t>Coefficient</w:t>
            </w:r>
          </w:p>
        </w:tc>
        <w:tc>
          <w:tcPr>
            <w:tcW w:w="236" w:type="dxa"/>
            <w:tcBorders>
              <w:top w:val="single" w:sz="4" w:space="0" w:color="auto"/>
            </w:tcBorders>
            <w:vAlign w:val="center"/>
          </w:tcPr>
          <w:p w:rsidR="00A10954" w:rsidRPr="00CE5797" w:rsidRDefault="00A10954" w:rsidP="00CB3BD3">
            <w:pPr>
              <w:jc w:val="center"/>
              <w:rPr>
                <w:sz w:val="18"/>
                <w:szCs w:val="20"/>
              </w:rPr>
            </w:pPr>
          </w:p>
        </w:tc>
        <w:tc>
          <w:tcPr>
            <w:tcW w:w="1361" w:type="dxa"/>
            <w:tcBorders>
              <w:top w:val="single" w:sz="4" w:space="0" w:color="auto"/>
            </w:tcBorders>
            <w:vAlign w:val="center"/>
          </w:tcPr>
          <w:p w:rsidR="00A10954" w:rsidRPr="00CE5797" w:rsidRDefault="00A10954" w:rsidP="00CB3BD3">
            <w:pPr>
              <w:jc w:val="center"/>
              <w:rPr>
                <w:sz w:val="18"/>
                <w:szCs w:val="20"/>
              </w:rPr>
            </w:pPr>
            <w:r w:rsidRPr="00CE5797">
              <w:rPr>
                <w:sz w:val="18"/>
                <w:szCs w:val="20"/>
              </w:rPr>
              <w:t>Pre-crisis period</w:t>
            </w:r>
          </w:p>
        </w:tc>
        <w:tc>
          <w:tcPr>
            <w:tcW w:w="236" w:type="dxa"/>
            <w:tcBorders>
              <w:top w:val="single" w:sz="4" w:space="0" w:color="auto"/>
            </w:tcBorders>
            <w:vAlign w:val="center"/>
          </w:tcPr>
          <w:p w:rsidR="00A10954" w:rsidRPr="00CE5797" w:rsidRDefault="00A10954" w:rsidP="00CB3BD3">
            <w:pPr>
              <w:jc w:val="center"/>
              <w:rPr>
                <w:sz w:val="18"/>
                <w:szCs w:val="20"/>
              </w:rPr>
            </w:pPr>
          </w:p>
        </w:tc>
        <w:tc>
          <w:tcPr>
            <w:tcW w:w="1361" w:type="dxa"/>
            <w:tcBorders>
              <w:top w:val="single" w:sz="4" w:space="0" w:color="auto"/>
            </w:tcBorders>
            <w:vAlign w:val="center"/>
          </w:tcPr>
          <w:p w:rsidR="00A10954" w:rsidRPr="00CE5797" w:rsidRDefault="00A10954" w:rsidP="00CB3BD3">
            <w:pPr>
              <w:jc w:val="center"/>
              <w:rPr>
                <w:sz w:val="18"/>
                <w:szCs w:val="20"/>
              </w:rPr>
            </w:pPr>
            <w:r w:rsidRPr="00CE5797">
              <w:rPr>
                <w:sz w:val="18"/>
                <w:szCs w:val="20"/>
              </w:rPr>
              <w:t>Subprime crisis period</w:t>
            </w:r>
          </w:p>
        </w:tc>
        <w:tc>
          <w:tcPr>
            <w:tcW w:w="236" w:type="dxa"/>
            <w:tcBorders>
              <w:top w:val="single" w:sz="4" w:space="0" w:color="auto"/>
            </w:tcBorders>
            <w:vAlign w:val="center"/>
          </w:tcPr>
          <w:p w:rsidR="00A10954" w:rsidRPr="00CE5797" w:rsidRDefault="00A10954" w:rsidP="00CB3BD3">
            <w:pPr>
              <w:jc w:val="center"/>
              <w:rPr>
                <w:sz w:val="18"/>
                <w:szCs w:val="20"/>
              </w:rPr>
            </w:pPr>
          </w:p>
        </w:tc>
        <w:tc>
          <w:tcPr>
            <w:tcW w:w="1361" w:type="dxa"/>
            <w:tcBorders>
              <w:top w:val="single" w:sz="4" w:space="0" w:color="auto"/>
            </w:tcBorders>
            <w:vAlign w:val="center"/>
          </w:tcPr>
          <w:p w:rsidR="00A10954" w:rsidRPr="00CE5797" w:rsidRDefault="00A10954" w:rsidP="00CB3BD3">
            <w:pPr>
              <w:jc w:val="center"/>
              <w:rPr>
                <w:sz w:val="18"/>
                <w:szCs w:val="20"/>
              </w:rPr>
            </w:pPr>
            <w:r w:rsidRPr="00CE5797">
              <w:rPr>
                <w:sz w:val="18"/>
                <w:szCs w:val="20"/>
              </w:rPr>
              <w:t>Sovereign crisis period I</w:t>
            </w:r>
          </w:p>
        </w:tc>
        <w:tc>
          <w:tcPr>
            <w:tcW w:w="236" w:type="dxa"/>
            <w:tcBorders>
              <w:top w:val="single" w:sz="4" w:space="0" w:color="auto"/>
            </w:tcBorders>
            <w:vAlign w:val="center"/>
          </w:tcPr>
          <w:p w:rsidR="00A10954" w:rsidRPr="00CE5797" w:rsidRDefault="00A10954" w:rsidP="00CB3BD3">
            <w:pPr>
              <w:jc w:val="center"/>
              <w:rPr>
                <w:sz w:val="18"/>
                <w:szCs w:val="20"/>
              </w:rPr>
            </w:pPr>
          </w:p>
        </w:tc>
        <w:tc>
          <w:tcPr>
            <w:tcW w:w="1361" w:type="dxa"/>
            <w:tcBorders>
              <w:top w:val="single" w:sz="4" w:space="0" w:color="auto"/>
            </w:tcBorders>
            <w:vAlign w:val="center"/>
          </w:tcPr>
          <w:p w:rsidR="00A10954" w:rsidRPr="00CE5797" w:rsidRDefault="00A10954" w:rsidP="00CB3BD3">
            <w:pPr>
              <w:jc w:val="center"/>
              <w:rPr>
                <w:sz w:val="18"/>
                <w:szCs w:val="20"/>
              </w:rPr>
            </w:pPr>
            <w:r w:rsidRPr="00CE5797">
              <w:rPr>
                <w:sz w:val="18"/>
                <w:szCs w:val="20"/>
              </w:rPr>
              <w:t>Sovereign crisis period II</w:t>
            </w:r>
          </w:p>
        </w:tc>
        <w:tc>
          <w:tcPr>
            <w:tcW w:w="236" w:type="dxa"/>
            <w:tcBorders>
              <w:top w:val="single" w:sz="4" w:space="0" w:color="auto"/>
              <w:right w:val="single" w:sz="4" w:space="0" w:color="auto"/>
            </w:tcBorders>
          </w:tcPr>
          <w:p w:rsidR="00A10954" w:rsidRPr="00CE5797" w:rsidRDefault="00A10954" w:rsidP="00CB3BD3">
            <w:pPr>
              <w:jc w:val="center"/>
              <w:rPr>
                <w:sz w:val="18"/>
                <w:szCs w:val="20"/>
              </w:rPr>
            </w:pPr>
          </w:p>
        </w:tc>
        <w:tc>
          <w:tcPr>
            <w:tcW w:w="236" w:type="dxa"/>
            <w:tcBorders>
              <w:top w:val="single" w:sz="4" w:space="0" w:color="auto"/>
              <w:left w:val="single" w:sz="4" w:space="0" w:color="auto"/>
            </w:tcBorders>
          </w:tcPr>
          <w:p w:rsidR="00A10954" w:rsidRPr="00CE5797" w:rsidRDefault="00A10954" w:rsidP="00CB3BD3">
            <w:pPr>
              <w:jc w:val="center"/>
              <w:rPr>
                <w:sz w:val="18"/>
                <w:szCs w:val="20"/>
              </w:rPr>
            </w:pPr>
          </w:p>
        </w:tc>
        <w:tc>
          <w:tcPr>
            <w:tcW w:w="1361" w:type="dxa"/>
            <w:tcBorders>
              <w:top w:val="single" w:sz="4" w:space="0" w:color="auto"/>
            </w:tcBorders>
            <w:vAlign w:val="center"/>
          </w:tcPr>
          <w:p w:rsidR="00A10954" w:rsidRPr="00CE5797" w:rsidRDefault="00A10954" w:rsidP="00CB3BD3">
            <w:pPr>
              <w:jc w:val="center"/>
              <w:rPr>
                <w:sz w:val="18"/>
                <w:szCs w:val="20"/>
              </w:rPr>
            </w:pPr>
            <w:r w:rsidRPr="00CE5797">
              <w:rPr>
                <w:sz w:val="18"/>
                <w:szCs w:val="20"/>
              </w:rPr>
              <w:t>Pre-crisis period</w:t>
            </w:r>
          </w:p>
        </w:tc>
        <w:tc>
          <w:tcPr>
            <w:tcW w:w="236" w:type="dxa"/>
            <w:tcBorders>
              <w:top w:val="single" w:sz="4" w:space="0" w:color="auto"/>
            </w:tcBorders>
            <w:vAlign w:val="center"/>
          </w:tcPr>
          <w:p w:rsidR="00A10954" w:rsidRPr="00CE5797" w:rsidRDefault="00A10954" w:rsidP="00CB3BD3">
            <w:pPr>
              <w:jc w:val="center"/>
              <w:rPr>
                <w:sz w:val="18"/>
                <w:szCs w:val="20"/>
              </w:rPr>
            </w:pPr>
          </w:p>
        </w:tc>
        <w:tc>
          <w:tcPr>
            <w:tcW w:w="1361" w:type="dxa"/>
            <w:tcBorders>
              <w:top w:val="single" w:sz="4" w:space="0" w:color="auto"/>
            </w:tcBorders>
            <w:vAlign w:val="center"/>
          </w:tcPr>
          <w:p w:rsidR="00A10954" w:rsidRPr="00CE5797" w:rsidRDefault="00A10954" w:rsidP="00CB3BD3">
            <w:pPr>
              <w:jc w:val="center"/>
              <w:rPr>
                <w:sz w:val="18"/>
                <w:szCs w:val="20"/>
              </w:rPr>
            </w:pPr>
            <w:r w:rsidRPr="00CE5797">
              <w:rPr>
                <w:sz w:val="18"/>
                <w:szCs w:val="20"/>
              </w:rPr>
              <w:t>Subprime crisis period</w:t>
            </w:r>
          </w:p>
        </w:tc>
        <w:tc>
          <w:tcPr>
            <w:tcW w:w="236" w:type="dxa"/>
            <w:tcBorders>
              <w:top w:val="single" w:sz="4" w:space="0" w:color="auto"/>
            </w:tcBorders>
            <w:vAlign w:val="center"/>
          </w:tcPr>
          <w:p w:rsidR="00A10954" w:rsidRPr="00CE5797" w:rsidRDefault="00A10954" w:rsidP="00CB3BD3">
            <w:pPr>
              <w:jc w:val="center"/>
              <w:rPr>
                <w:sz w:val="18"/>
                <w:szCs w:val="20"/>
              </w:rPr>
            </w:pPr>
          </w:p>
        </w:tc>
        <w:tc>
          <w:tcPr>
            <w:tcW w:w="1361" w:type="dxa"/>
            <w:tcBorders>
              <w:top w:val="single" w:sz="4" w:space="0" w:color="auto"/>
            </w:tcBorders>
            <w:vAlign w:val="center"/>
          </w:tcPr>
          <w:p w:rsidR="00A10954" w:rsidRPr="00CE5797" w:rsidRDefault="00A10954" w:rsidP="00CB3BD3">
            <w:pPr>
              <w:jc w:val="center"/>
              <w:rPr>
                <w:sz w:val="18"/>
                <w:szCs w:val="20"/>
              </w:rPr>
            </w:pPr>
            <w:r w:rsidRPr="00CE5797">
              <w:rPr>
                <w:sz w:val="18"/>
                <w:szCs w:val="20"/>
              </w:rPr>
              <w:t>Sovereign crisis period I</w:t>
            </w:r>
          </w:p>
        </w:tc>
        <w:tc>
          <w:tcPr>
            <w:tcW w:w="236" w:type="dxa"/>
            <w:tcBorders>
              <w:top w:val="single" w:sz="4" w:space="0" w:color="auto"/>
            </w:tcBorders>
            <w:vAlign w:val="center"/>
          </w:tcPr>
          <w:p w:rsidR="00A10954" w:rsidRPr="00CE5797" w:rsidRDefault="00A10954" w:rsidP="00CB3BD3">
            <w:pPr>
              <w:jc w:val="center"/>
              <w:rPr>
                <w:sz w:val="18"/>
                <w:szCs w:val="20"/>
              </w:rPr>
            </w:pPr>
          </w:p>
        </w:tc>
        <w:tc>
          <w:tcPr>
            <w:tcW w:w="1365" w:type="dxa"/>
            <w:tcBorders>
              <w:top w:val="single" w:sz="4" w:space="0" w:color="auto"/>
            </w:tcBorders>
            <w:vAlign w:val="center"/>
          </w:tcPr>
          <w:p w:rsidR="00A10954" w:rsidRPr="00CE5797" w:rsidRDefault="00A10954" w:rsidP="00CB3BD3">
            <w:pPr>
              <w:jc w:val="center"/>
              <w:rPr>
                <w:sz w:val="18"/>
                <w:szCs w:val="20"/>
              </w:rPr>
            </w:pPr>
            <w:r w:rsidRPr="00CE5797">
              <w:rPr>
                <w:sz w:val="18"/>
                <w:szCs w:val="20"/>
              </w:rPr>
              <w:t>Sovereign crisis period II</w:t>
            </w:r>
          </w:p>
        </w:tc>
      </w:tr>
      <w:tr w:rsidR="006B67F6" w:rsidRPr="00CE5797" w:rsidTr="00C46F3D">
        <w:trPr>
          <w:trHeight w:val="254"/>
          <w:jc w:val="center"/>
        </w:trPr>
        <w:tc>
          <w:tcPr>
            <w:tcW w:w="1361" w:type="dxa"/>
          </w:tcPr>
          <w:p w:rsidR="006B67F6" w:rsidRPr="00CE5797" w:rsidRDefault="00CE06E1" w:rsidP="00CB3BD3">
            <w:pPr>
              <w:jc w:val="center"/>
              <w:rPr>
                <w:sz w:val="18"/>
                <w:szCs w:val="20"/>
              </w:rPr>
            </w:pPr>
            <m:oMathPara>
              <m:oMath>
                <m:sSub>
                  <m:sSubPr>
                    <m:ctrlPr>
                      <w:rPr>
                        <w:rFonts w:ascii="Cambria Math" w:hAnsi="Cambria Math"/>
                        <w:i/>
                        <w:sz w:val="18"/>
                      </w:rPr>
                    </m:ctrlPr>
                  </m:sSubPr>
                  <m:e>
                    <m:r>
                      <w:rPr>
                        <w:rFonts w:ascii="Cambria Math" w:hAnsi="Cambria Math"/>
                        <w:sz w:val="18"/>
                      </w:rPr>
                      <m:t>β</m:t>
                    </m:r>
                  </m:e>
                  <m:sub>
                    <m:r>
                      <w:rPr>
                        <w:rFonts w:ascii="Cambria Math" w:hAnsi="Cambria Math"/>
                        <w:sz w:val="18"/>
                      </w:rPr>
                      <m:t>EQT</m:t>
                    </m:r>
                  </m:sub>
                </m:sSub>
              </m:oMath>
            </m:oMathPara>
          </w:p>
        </w:tc>
        <w:tc>
          <w:tcPr>
            <w:tcW w:w="236" w:type="dxa"/>
          </w:tcPr>
          <w:p w:rsidR="006B67F6" w:rsidRPr="00CE5797" w:rsidRDefault="006B67F6" w:rsidP="00CB3BD3">
            <w:pPr>
              <w:jc w:val="center"/>
              <w:rPr>
                <w:sz w:val="18"/>
                <w:szCs w:val="20"/>
              </w:rPr>
            </w:pPr>
          </w:p>
        </w:tc>
        <w:tc>
          <w:tcPr>
            <w:tcW w:w="1361" w:type="dxa"/>
            <w:vAlign w:val="center"/>
          </w:tcPr>
          <w:p w:rsidR="006B67F6" w:rsidRDefault="006B67F6">
            <w:pPr>
              <w:rPr>
                <w:rFonts w:ascii="Calibri" w:hAnsi="Calibri"/>
                <w:b/>
                <w:bCs/>
                <w:color w:val="FF0000"/>
              </w:rPr>
            </w:pPr>
            <w:r>
              <w:rPr>
                <w:rFonts w:ascii="Calibri" w:hAnsi="Calibri"/>
                <w:b/>
                <w:bCs/>
                <w:color w:val="FF0000"/>
              </w:rPr>
              <w:t>-0.024 ***</w:t>
            </w:r>
          </w:p>
        </w:tc>
        <w:tc>
          <w:tcPr>
            <w:tcW w:w="236" w:type="dxa"/>
            <w:vAlign w:val="center"/>
          </w:tcPr>
          <w:p w:rsidR="006B67F6" w:rsidRDefault="006B67F6">
            <w:pPr>
              <w:rPr>
                <w:rFonts w:ascii="Calibri" w:hAnsi="Calibri"/>
                <w:b/>
                <w:bCs/>
                <w:color w:val="FF0000"/>
              </w:rPr>
            </w:pPr>
          </w:p>
        </w:tc>
        <w:tc>
          <w:tcPr>
            <w:tcW w:w="1361" w:type="dxa"/>
            <w:vAlign w:val="center"/>
          </w:tcPr>
          <w:p w:rsidR="006B67F6" w:rsidRDefault="006B67F6">
            <w:pPr>
              <w:rPr>
                <w:rFonts w:ascii="Calibri" w:hAnsi="Calibri"/>
                <w:b/>
                <w:bCs/>
                <w:color w:val="FF0000"/>
              </w:rPr>
            </w:pPr>
            <w:r>
              <w:rPr>
                <w:rFonts w:ascii="Calibri" w:hAnsi="Calibri"/>
                <w:b/>
                <w:bCs/>
                <w:color w:val="FF0000"/>
              </w:rPr>
              <w:t>-0.059 ***</w:t>
            </w:r>
          </w:p>
        </w:tc>
        <w:tc>
          <w:tcPr>
            <w:tcW w:w="236" w:type="dxa"/>
            <w:vAlign w:val="center"/>
          </w:tcPr>
          <w:p w:rsidR="006B67F6" w:rsidRDefault="006B67F6">
            <w:pPr>
              <w:rPr>
                <w:rFonts w:ascii="Calibri" w:hAnsi="Calibri"/>
                <w:color w:val="000000"/>
              </w:rPr>
            </w:pPr>
          </w:p>
        </w:tc>
        <w:tc>
          <w:tcPr>
            <w:tcW w:w="1361" w:type="dxa"/>
            <w:vAlign w:val="center"/>
          </w:tcPr>
          <w:p w:rsidR="006B67F6" w:rsidRPr="006B67F6" w:rsidRDefault="006B67F6">
            <w:pPr>
              <w:rPr>
                <w:rFonts w:ascii="Calibri" w:hAnsi="Calibri"/>
                <w:b/>
                <w:bCs/>
                <w:color w:val="FF0000"/>
              </w:rPr>
            </w:pPr>
            <w:r w:rsidRPr="006B67F6">
              <w:rPr>
                <w:rFonts w:ascii="Calibri" w:hAnsi="Calibri"/>
                <w:b/>
                <w:bCs/>
                <w:color w:val="FF0000"/>
              </w:rPr>
              <w:t>-0.087 ***</w:t>
            </w:r>
          </w:p>
        </w:tc>
        <w:tc>
          <w:tcPr>
            <w:tcW w:w="236" w:type="dxa"/>
            <w:vAlign w:val="center"/>
          </w:tcPr>
          <w:p w:rsidR="006B67F6" w:rsidRPr="006B67F6" w:rsidRDefault="006B67F6">
            <w:pPr>
              <w:rPr>
                <w:rFonts w:ascii="Calibri" w:hAnsi="Calibri"/>
                <w:b/>
                <w:bCs/>
                <w:color w:val="FF0000"/>
              </w:rPr>
            </w:pPr>
          </w:p>
        </w:tc>
        <w:tc>
          <w:tcPr>
            <w:tcW w:w="1361" w:type="dxa"/>
            <w:vAlign w:val="center"/>
          </w:tcPr>
          <w:p w:rsidR="006B67F6" w:rsidRPr="006B67F6" w:rsidRDefault="006B67F6">
            <w:pPr>
              <w:rPr>
                <w:rFonts w:ascii="Calibri" w:hAnsi="Calibri"/>
                <w:b/>
                <w:bCs/>
                <w:color w:val="FF0000"/>
              </w:rPr>
            </w:pPr>
            <w:r w:rsidRPr="006B67F6">
              <w:rPr>
                <w:rFonts w:ascii="Calibri" w:hAnsi="Calibri"/>
                <w:b/>
                <w:bCs/>
                <w:color w:val="FF0000"/>
              </w:rPr>
              <w:t>-0.057 ***</w:t>
            </w:r>
          </w:p>
        </w:tc>
        <w:tc>
          <w:tcPr>
            <w:tcW w:w="236" w:type="dxa"/>
            <w:tcBorders>
              <w:right w:val="single" w:sz="4" w:space="0" w:color="auto"/>
            </w:tcBorders>
          </w:tcPr>
          <w:p w:rsidR="006B67F6" w:rsidRPr="006303BE" w:rsidRDefault="006B67F6" w:rsidP="00CB3BD3">
            <w:pPr>
              <w:rPr>
                <w:rFonts w:ascii="Calibri" w:hAnsi="Calibri"/>
                <w:b/>
                <w:color w:val="FF0000"/>
                <w:sz w:val="20"/>
              </w:rPr>
            </w:pPr>
          </w:p>
        </w:tc>
        <w:tc>
          <w:tcPr>
            <w:tcW w:w="236" w:type="dxa"/>
            <w:tcBorders>
              <w:left w:val="single" w:sz="4" w:space="0" w:color="auto"/>
            </w:tcBorders>
          </w:tcPr>
          <w:p w:rsidR="006B67F6" w:rsidRPr="006303BE" w:rsidRDefault="006B67F6" w:rsidP="00CB3BD3">
            <w:pPr>
              <w:rPr>
                <w:rFonts w:ascii="Calibri" w:hAnsi="Calibri"/>
                <w:b/>
                <w:color w:val="FF0000"/>
                <w:sz w:val="20"/>
              </w:rPr>
            </w:pPr>
          </w:p>
        </w:tc>
        <w:tc>
          <w:tcPr>
            <w:tcW w:w="1361" w:type="dxa"/>
            <w:vAlign w:val="center"/>
          </w:tcPr>
          <w:p w:rsidR="006B67F6" w:rsidRDefault="006B67F6">
            <w:pPr>
              <w:rPr>
                <w:rFonts w:ascii="Calibri" w:hAnsi="Calibri"/>
                <w:b/>
                <w:bCs/>
                <w:color w:val="FF0000"/>
              </w:rPr>
            </w:pPr>
            <w:r>
              <w:rPr>
                <w:rFonts w:ascii="Calibri" w:hAnsi="Calibri"/>
                <w:b/>
                <w:bCs/>
                <w:color w:val="FF0000"/>
              </w:rPr>
              <w:t>-0.033 ***</w:t>
            </w:r>
          </w:p>
        </w:tc>
        <w:tc>
          <w:tcPr>
            <w:tcW w:w="236" w:type="dxa"/>
            <w:vAlign w:val="center"/>
          </w:tcPr>
          <w:p w:rsidR="006B67F6" w:rsidRDefault="006B67F6">
            <w:pPr>
              <w:rPr>
                <w:rFonts w:ascii="Calibri" w:hAnsi="Calibri"/>
                <w:b/>
                <w:bCs/>
                <w:color w:val="FF0000"/>
              </w:rPr>
            </w:pPr>
          </w:p>
        </w:tc>
        <w:tc>
          <w:tcPr>
            <w:tcW w:w="1361" w:type="dxa"/>
            <w:vAlign w:val="center"/>
          </w:tcPr>
          <w:p w:rsidR="006B67F6" w:rsidRDefault="006B67F6">
            <w:pPr>
              <w:rPr>
                <w:rFonts w:ascii="Calibri" w:hAnsi="Calibri"/>
                <w:b/>
                <w:bCs/>
                <w:color w:val="FF0000"/>
              </w:rPr>
            </w:pPr>
            <w:r>
              <w:rPr>
                <w:rFonts w:ascii="Calibri" w:hAnsi="Calibri"/>
                <w:b/>
                <w:bCs/>
                <w:color w:val="FF0000"/>
              </w:rPr>
              <w:t>-0.060 ***</w:t>
            </w:r>
          </w:p>
        </w:tc>
        <w:tc>
          <w:tcPr>
            <w:tcW w:w="236" w:type="dxa"/>
            <w:vAlign w:val="center"/>
          </w:tcPr>
          <w:p w:rsidR="006B67F6" w:rsidRDefault="006B67F6">
            <w:pPr>
              <w:rPr>
                <w:rFonts w:ascii="Calibri" w:hAnsi="Calibri"/>
                <w:color w:val="000000"/>
              </w:rPr>
            </w:pPr>
          </w:p>
        </w:tc>
        <w:tc>
          <w:tcPr>
            <w:tcW w:w="1361" w:type="dxa"/>
            <w:vAlign w:val="center"/>
          </w:tcPr>
          <w:p w:rsidR="006B67F6" w:rsidRDefault="006B67F6">
            <w:pPr>
              <w:rPr>
                <w:rFonts w:ascii="Calibri" w:hAnsi="Calibri"/>
                <w:b/>
                <w:bCs/>
                <w:color w:val="548DD4"/>
              </w:rPr>
            </w:pPr>
            <w:r w:rsidRPr="006B67F6">
              <w:rPr>
                <w:rFonts w:ascii="Calibri" w:hAnsi="Calibri"/>
                <w:b/>
                <w:bCs/>
                <w:color w:val="FF0000"/>
              </w:rPr>
              <w:t>-0.097 ***</w:t>
            </w:r>
          </w:p>
        </w:tc>
        <w:tc>
          <w:tcPr>
            <w:tcW w:w="236" w:type="dxa"/>
            <w:vAlign w:val="center"/>
          </w:tcPr>
          <w:p w:rsidR="006B67F6" w:rsidRDefault="006B67F6">
            <w:pPr>
              <w:rPr>
                <w:rFonts w:ascii="Calibri" w:hAnsi="Calibri"/>
                <w:b/>
                <w:bCs/>
                <w:color w:val="548DD4"/>
              </w:rPr>
            </w:pPr>
          </w:p>
        </w:tc>
        <w:tc>
          <w:tcPr>
            <w:tcW w:w="1365" w:type="dxa"/>
            <w:vAlign w:val="center"/>
          </w:tcPr>
          <w:p w:rsidR="006B67F6" w:rsidRPr="006B67F6" w:rsidRDefault="006B67F6">
            <w:pPr>
              <w:rPr>
                <w:rFonts w:ascii="Calibri" w:hAnsi="Calibri"/>
                <w:b/>
                <w:bCs/>
                <w:color w:val="FF0000"/>
              </w:rPr>
            </w:pPr>
            <w:r w:rsidRPr="006B67F6">
              <w:rPr>
                <w:rFonts w:ascii="Calibri" w:hAnsi="Calibri"/>
                <w:b/>
                <w:bCs/>
                <w:color w:val="FF0000"/>
              </w:rPr>
              <w:t>-0.017 *</w:t>
            </w:r>
          </w:p>
        </w:tc>
      </w:tr>
      <w:tr w:rsidR="006B67F6" w:rsidRPr="00CE5797" w:rsidTr="00C46F3D">
        <w:trPr>
          <w:trHeight w:val="254"/>
          <w:jc w:val="center"/>
        </w:trPr>
        <w:tc>
          <w:tcPr>
            <w:tcW w:w="1361" w:type="dxa"/>
          </w:tcPr>
          <w:p w:rsidR="006B67F6" w:rsidRPr="00CE5797" w:rsidRDefault="00CE06E1" w:rsidP="00CB3BD3">
            <w:pPr>
              <w:jc w:val="center"/>
              <w:rPr>
                <w:sz w:val="18"/>
                <w:szCs w:val="20"/>
              </w:rPr>
            </w:pPr>
            <m:oMathPara>
              <m:oMath>
                <m:sSub>
                  <m:sSubPr>
                    <m:ctrlPr>
                      <w:rPr>
                        <w:rFonts w:ascii="Cambria Math" w:hAnsi="Cambria Math"/>
                        <w:i/>
                        <w:sz w:val="18"/>
                      </w:rPr>
                    </m:ctrlPr>
                  </m:sSubPr>
                  <m:e>
                    <m:r>
                      <w:rPr>
                        <w:rFonts w:ascii="Cambria Math" w:hAnsi="Cambria Math"/>
                        <w:sz w:val="18"/>
                      </w:rPr>
                      <m:t>β</m:t>
                    </m:r>
                  </m:e>
                  <m:sub>
                    <m:r>
                      <w:rPr>
                        <w:rFonts w:ascii="Cambria Math" w:hAnsi="Cambria Math"/>
                        <w:sz w:val="18"/>
                      </w:rPr>
                      <m:t>CDS</m:t>
                    </m:r>
                  </m:sub>
                </m:sSub>
              </m:oMath>
            </m:oMathPara>
          </w:p>
        </w:tc>
        <w:tc>
          <w:tcPr>
            <w:tcW w:w="236" w:type="dxa"/>
          </w:tcPr>
          <w:p w:rsidR="006B67F6" w:rsidRPr="00CE5797" w:rsidRDefault="006B67F6" w:rsidP="00CB3BD3">
            <w:pPr>
              <w:jc w:val="center"/>
              <w:rPr>
                <w:sz w:val="18"/>
                <w:szCs w:val="20"/>
              </w:rPr>
            </w:pPr>
          </w:p>
        </w:tc>
        <w:tc>
          <w:tcPr>
            <w:tcW w:w="1361" w:type="dxa"/>
            <w:vAlign w:val="center"/>
          </w:tcPr>
          <w:p w:rsidR="006B67F6" w:rsidRDefault="006B67F6">
            <w:pPr>
              <w:rPr>
                <w:rFonts w:ascii="Calibri" w:hAnsi="Calibri"/>
                <w:color w:val="000000"/>
              </w:rPr>
            </w:pPr>
            <w:r>
              <w:rPr>
                <w:rFonts w:ascii="Calibri" w:hAnsi="Calibri"/>
                <w:color w:val="000000"/>
              </w:rPr>
              <w:t>-0.286</w:t>
            </w:r>
          </w:p>
        </w:tc>
        <w:tc>
          <w:tcPr>
            <w:tcW w:w="236" w:type="dxa"/>
            <w:vAlign w:val="center"/>
          </w:tcPr>
          <w:p w:rsidR="006B67F6" w:rsidRDefault="006B67F6">
            <w:pPr>
              <w:rPr>
                <w:rFonts w:ascii="Calibri" w:hAnsi="Calibri"/>
                <w:color w:val="000000"/>
              </w:rPr>
            </w:pPr>
          </w:p>
        </w:tc>
        <w:tc>
          <w:tcPr>
            <w:tcW w:w="1361" w:type="dxa"/>
            <w:vAlign w:val="center"/>
          </w:tcPr>
          <w:p w:rsidR="006B67F6" w:rsidRPr="006B67F6" w:rsidRDefault="006B67F6">
            <w:pPr>
              <w:rPr>
                <w:rFonts w:ascii="Calibri" w:hAnsi="Calibri"/>
                <w:color w:val="000000"/>
              </w:rPr>
            </w:pPr>
            <w:r w:rsidRPr="006B67F6">
              <w:rPr>
                <w:rFonts w:ascii="Calibri" w:hAnsi="Calibri"/>
                <w:color w:val="000000"/>
              </w:rPr>
              <w:t>0.894</w:t>
            </w:r>
          </w:p>
        </w:tc>
        <w:tc>
          <w:tcPr>
            <w:tcW w:w="236" w:type="dxa"/>
            <w:vAlign w:val="center"/>
          </w:tcPr>
          <w:p w:rsidR="006B67F6" w:rsidRDefault="006B67F6">
            <w:pPr>
              <w:rPr>
                <w:rFonts w:ascii="Calibri" w:hAnsi="Calibri"/>
                <w:b/>
                <w:bCs/>
                <w:color w:val="FF0000"/>
              </w:rPr>
            </w:pPr>
          </w:p>
        </w:tc>
        <w:tc>
          <w:tcPr>
            <w:tcW w:w="1361" w:type="dxa"/>
            <w:vAlign w:val="center"/>
          </w:tcPr>
          <w:p w:rsidR="006B67F6" w:rsidRPr="006B67F6" w:rsidRDefault="006B67F6">
            <w:pPr>
              <w:rPr>
                <w:rFonts w:ascii="Calibri" w:hAnsi="Calibri"/>
                <w:b/>
                <w:bCs/>
                <w:color w:val="548DD4"/>
              </w:rPr>
            </w:pPr>
            <w:r w:rsidRPr="006B67F6">
              <w:rPr>
                <w:rFonts w:ascii="Calibri" w:hAnsi="Calibri"/>
                <w:b/>
                <w:bCs/>
                <w:color w:val="548DD4"/>
              </w:rPr>
              <w:t>1.483 ***</w:t>
            </w:r>
          </w:p>
        </w:tc>
        <w:tc>
          <w:tcPr>
            <w:tcW w:w="236" w:type="dxa"/>
            <w:vAlign w:val="center"/>
          </w:tcPr>
          <w:p w:rsidR="006B67F6" w:rsidRPr="006B67F6" w:rsidRDefault="006B67F6">
            <w:pPr>
              <w:rPr>
                <w:rFonts w:ascii="Calibri" w:hAnsi="Calibri"/>
                <w:b/>
                <w:bCs/>
                <w:color w:val="548DD4"/>
              </w:rPr>
            </w:pPr>
          </w:p>
        </w:tc>
        <w:tc>
          <w:tcPr>
            <w:tcW w:w="1361" w:type="dxa"/>
            <w:vAlign w:val="center"/>
          </w:tcPr>
          <w:p w:rsidR="006B67F6" w:rsidRPr="006B67F6" w:rsidRDefault="006B67F6">
            <w:pPr>
              <w:rPr>
                <w:rFonts w:ascii="Calibri" w:hAnsi="Calibri"/>
                <w:b/>
                <w:bCs/>
                <w:color w:val="548DD4"/>
              </w:rPr>
            </w:pPr>
            <w:r w:rsidRPr="006B67F6">
              <w:rPr>
                <w:rFonts w:ascii="Calibri" w:hAnsi="Calibri"/>
                <w:b/>
                <w:bCs/>
                <w:color w:val="548DD4"/>
              </w:rPr>
              <w:t>1.513 ***</w:t>
            </w:r>
          </w:p>
        </w:tc>
        <w:tc>
          <w:tcPr>
            <w:tcW w:w="236" w:type="dxa"/>
            <w:tcBorders>
              <w:right w:val="single" w:sz="4" w:space="0" w:color="auto"/>
            </w:tcBorders>
          </w:tcPr>
          <w:p w:rsidR="006B67F6" w:rsidRPr="006303BE" w:rsidRDefault="006B67F6" w:rsidP="00CB3BD3">
            <w:pPr>
              <w:rPr>
                <w:rFonts w:ascii="Calibri" w:hAnsi="Calibri"/>
                <w:b/>
                <w:color w:val="548DD4" w:themeColor="text2" w:themeTint="99"/>
                <w:sz w:val="20"/>
              </w:rPr>
            </w:pPr>
          </w:p>
        </w:tc>
        <w:tc>
          <w:tcPr>
            <w:tcW w:w="236" w:type="dxa"/>
            <w:tcBorders>
              <w:left w:val="single" w:sz="4" w:space="0" w:color="auto"/>
            </w:tcBorders>
          </w:tcPr>
          <w:p w:rsidR="006B67F6" w:rsidRPr="000E4577" w:rsidRDefault="006B67F6" w:rsidP="00CB3BD3">
            <w:pPr>
              <w:rPr>
                <w:rFonts w:ascii="Calibri" w:hAnsi="Calibri"/>
                <w:color w:val="000000"/>
                <w:sz w:val="20"/>
              </w:rPr>
            </w:pPr>
          </w:p>
        </w:tc>
        <w:tc>
          <w:tcPr>
            <w:tcW w:w="1361" w:type="dxa"/>
            <w:vAlign w:val="center"/>
          </w:tcPr>
          <w:p w:rsidR="006B67F6" w:rsidRDefault="006B67F6">
            <w:pPr>
              <w:rPr>
                <w:rFonts w:ascii="Calibri" w:hAnsi="Calibri"/>
                <w:color w:val="000000"/>
              </w:rPr>
            </w:pPr>
            <w:r w:rsidRPr="006B67F6">
              <w:rPr>
                <w:rFonts w:ascii="Calibri" w:hAnsi="Calibri"/>
                <w:b/>
                <w:bCs/>
                <w:color w:val="FF0000"/>
              </w:rPr>
              <w:t>-2.389 *</w:t>
            </w:r>
          </w:p>
        </w:tc>
        <w:tc>
          <w:tcPr>
            <w:tcW w:w="236" w:type="dxa"/>
            <w:vAlign w:val="center"/>
          </w:tcPr>
          <w:p w:rsidR="006B67F6" w:rsidRPr="006B67F6" w:rsidRDefault="006B67F6">
            <w:pPr>
              <w:rPr>
                <w:rFonts w:ascii="Calibri" w:hAnsi="Calibri"/>
                <w:color w:val="000000"/>
              </w:rPr>
            </w:pPr>
          </w:p>
        </w:tc>
        <w:tc>
          <w:tcPr>
            <w:tcW w:w="1361" w:type="dxa"/>
            <w:vAlign w:val="center"/>
          </w:tcPr>
          <w:p w:rsidR="006B67F6" w:rsidRPr="006B67F6" w:rsidRDefault="006B67F6">
            <w:pPr>
              <w:rPr>
                <w:rFonts w:ascii="Calibri" w:hAnsi="Calibri"/>
                <w:color w:val="000000"/>
              </w:rPr>
            </w:pPr>
            <w:r w:rsidRPr="006B67F6">
              <w:rPr>
                <w:rFonts w:ascii="Calibri" w:hAnsi="Calibri"/>
                <w:color w:val="000000"/>
              </w:rPr>
              <w:t>-0.381</w:t>
            </w:r>
          </w:p>
        </w:tc>
        <w:tc>
          <w:tcPr>
            <w:tcW w:w="236" w:type="dxa"/>
            <w:vAlign w:val="center"/>
          </w:tcPr>
          <w:p w:rsidR="006B67F6" w:rsidRDefault="006B67F6">
            <w:pPr>
              <w:rPr>
                <w:rFonts w:ascii="Calibri" w:hAnsi="Calibri"/>
                <w:b/>
                <w:bCs/>
                <w:color w:val="FF0000"/>
              </w:rPr>
            </w:pPr>
          </w:p>
        </w:tc>
        <w:tc>
          <w:tcPr>
            <w:tcW w:w="1361" w:type="dxa"/>
            <w:vAlign w:val="center"/>
          </w:tcPr>
          <w:p w:rsidR="006B67F6" w:rsidRDefault="006B67F6">
            <w:pPr>
              <w:rPr>
                <w:rFonts w:ascii="Calibri" w:hAnsi="Calibri"/>
                <w:b/>
                <w:bCs/>
                <w:color w:val="FF0000"/>
              </w:rPr>
            </w:pPr>
            <w:r>
              <w:rPr>
                <w:rFonts w:ascii="Calibri" w:hAnsi="Calibri"/>
                <w:b/>
                <w:bCs/>
                <w:color w:val="FF0000"/>
              </w:rPr>
              <w:t>-1.913 ***</w:t>
            </w:r>
          </w:p>
        </w:tc>
        <w:tc>
          <w:tcPr>
            <w:tcW w:w="236" w:type="dxa"/>
            <w:vAlign w:val="center"/>
          </w:tcPr>
          <w:p w:rsidR="006B67F6" w:rsidRDefault="006B67F6">
            <w:pPr>
              <w:rPr>
                <w:rFonts w:ascii="Calibri" w:hAnsi="Calibri"/>
                <w:color w:val="000000"/>
              </w:rPr>
            </w:pPr>
          </w:p>
        </w:tc>
        <w:tc>
          <w:tcPr>
            <w:tcW w:w="1365" w:type="dxa"/>
            <w:vAlign w:val="center"/>
          </w:tcPr>
          <w:p w:rsidR="006B67F6" w:rsidRPr="006B67F6" w:rsidRDefault="006B67F6">
            <w:pPr>
              <w:rPr>
                <w:rFonts w:ascii="Calibri" w:hAnsi="Calibri"/>
                <w:b/>
                <w:bCs/>
                <w:color w:val="FF0000"/>
              </w:rPr>
            </w:pPr>
            <w:r w:rsidRPr="006B67F6">
              <w:rPr>
                <w:rFonts w:ascii="Calibri" w:hAnsi="Calibri"/>
                <w:b/>
                <w:bCs/>
                <w:color w:val="FF0000"/>
              </w:rPr>
              <w:t>-1.648 ***</w:t>
            </w:r>
          </w:p>
        </w:tc>
      </w:tr>
      <w:tr w:rsidR="006B67F6" w:rsidRPr="00CE5797" w:rsidTr="00C46F3D">
        <w:trPr>
          <w:trHeight w:val="254"/>
          <w:jc w:val="center"/>
        </w:trPr>
        <w:tc>
          <w:tcPr>
            <w:tcW w:w="1361" w:type="dxa"/>
          </w:tcPr>
          <w:p w:rsidR="006B67F6" w:rsidRPr="00CE5797" w:rsidRDefault="00CE06E1" w:rsidP="00CB3BD3">
            <w:pPr>
              <w:jc w:val="center"/>
              <w:rPr>
                <w:sz w:val="18"/>
                <w:szCs w:val="20"/>
              </w:rPr>
            </w:pPr>
            <m:oMathPara>
              <m:oMath>
                <m:sSub>
                  <m:sSubPr>
                    <m:ctrlPr>
                      <w:rPr>
                        <w:rFonts w:ascii="Cambria Math" w:hAnsi="Cambria Math"/>
                        <w:i/>
                        <w:sz w:val="18"/>
                      </w:rPr>
                    </m:ctrlPr>
                  </m:sSubPr>
                  <m:e>
                    <m:r>
                      <w:rPr>
                        <w:rFonts w:ascii="Cambria Math" w:hAnsi="Cambria Math"/>
                        <w:sz w:val="18"/>
                      </w:rPr>
                      <m:t>β</m:t>
                    </m:r>
                  </m:e>
                  <m:sub>
                    <m:r>
                      <w:rPr>
                        <w:rFonts w:ascii="Cambria Math" w:hAnsi="Cambria Math"/>
                        <w:sz w:val="18"/>
                      </w:rPr>
                      <m:t>SPR</m:t>
                    </m:r>
                  </m:sub>
                </m:sSub>
              </m:oMath>
            </m:oMathPara>
          </w:p>
        </w:tc>
        <w:tc>
          <w:tcPr>
            <w:tcW w:w="236" w:type="dxa"/>
          </w:tcPr>
          <w:p w:rsidR="006B67F6" w:rsidRPr="00CE5797" w:rsidRDefault="006B67F6" w:rsidP="00CB3BD3">
            <w:pPr>
              <w:jc w:val="center"/>
              <w:rPr>
                <w:sz w:val="18"/>
                <w:szCs w:val="20"/>
              </w:rPr>
            </w:pPr>
          </w:p>
        </w:tc>
        <w:tc>
          <w:tcPr>
            <w:tcW w:w="1361" w:type="dxa"/>
            <w:vAlign w:val="center"/>
          </w:tcPr>
          <w:p w:rsidR="006B67F6" w:rsidRDefault="006B67F6">
            <w:pPr>
              <w:rPr>
                <w:rFonts w:ascii="Calibri" w:hAnsi="Calibri"/>
                <w:color w:val="000000"/>
              </w:rPr>
            </w:pPr>
            <w:r>
              <w:rPr>
                <w:rFonts w:ascii="Calibri" w:hAnsi="Calibri"/>
                <w:color w:val="000000"/>
              </w:rPr>
              <w:t>-0.592</w:t>
            </w:r>
          </w:p>
        </w:tc>
        <w:tc>
          <w:tcPr>
            <w:tcW w:w="236" w:type="dxa"/>
            <w:vAlign w:val="center"/>
          </w:tcPr>
          <w:p w:rsidR="006B67F6" w:rsidRDefault="006B67F6">
            <w:pPr>
              <w:rPr>
                <w:rFonts w:ascii="Calibri" w:hAnsi="Calibri"/>
                <w:color w:val="000000"/>
              </w:rPr>
            </w:pPr>
          </w:p>
        </w:tc>
        <w:tc>
          <w:tcPr>
            <w:tcW w:w="1361" w:type="dxa"/>
            <w:vAlign w:val="center"/>
          </w:tcPr>
          <w:p w:rsidR="006B67F6" w:rsidRPr="006B67F6" w:rsidRDefault="006B67F6">
            <w:pPr>
              <w:rPr>
                <w:rFonts w:ascii="Calibri" w:hAnsi="Calibri"/>
                <w:color w:val="000000"/>
              </w:rPr>
            </w:pPr>
            <w:r w:rsidRPr="006B67F6">
              <w:rPr>
                <w:rFonts w:ascii="Calibri" w:hAnsi="Calibri"/>
                <w:color w:val="000000"/>
              </w:rPr>
              <w:t>-0.240</w:t>
            </w:r>
          </w:p>
        </w:tc>
        <w:tc>
          <w:tcPr>
            <w:tcW w:w="236" w:type="dxa"/>
            <w:vAlign w:val="center"/>
          </w:tcPr>
          <w:p w:rsidR="006B67F6" w:rsidRDefault="006B67F6">
            <w:pPr>
              <w:rPr>
                <w:rFonts w:ascii="Calibri" w:hAnsi="Calibri"/>
                <w:b/>
                <w:bCs/>
                <w:color w:val="FF0000"/>
              </w:rPr>
            </w:pPr>
          </w:p>
        </w:tc>
        <w:tc>
          <w:tcPr>
            <w:tcW w:w="1361" w:type="dxa"/>
            <w:vAlign w:val="center"/>
          </w:tcPr>
          <w:p w:rsidR="006B67F6" w:rsidRDefault="006B67F6">
            <w:pPr>
              <w:rPr>
                <w:rFonts w:ascii="Calibri" w:hAnsi="Calibri"/>
                <w:color w:val="000000"/>
              </w:rPr>
            </w:pPr>
            <w:r>
              <w:rPr>
                <w:rFonts w:ascii="Calibri" w:hAnsi="Calibri"/>
                <w:color w:val="000000"/>
              </w:rPr>
              <w:t>-0.265</w:t>
            </w:r>
          </w:p>
        </w:tc>
        <w:tc>
          <w:tcPr>
            <w:tcW w:w="236" w:type="dxa"/>
            <w:vAlign w:val="center"/>
          </w:tcPr>
          <w:p w:rsidR="006B67F6" w:rsidRDefault="006B67F6">
            <w:pPr>
              <w:rPr>
                <w:rFonts w:ascii="Calibri" w:hAnsi="Calibri"/>
                <w:color w:val="000000"/>
              </w:rPr>
            </w:pPr>
          </w:p>
        </w:tc>
        <w:tc>
          <w:tcPr>
            <w:tcW w:w="1361" w:type="dxa"/>
            <w:vAlign w:val="center"/>
          </w:tcPr>
          <w:p w:rsidR="006B67F6" w:rsidRDefault="006B67F6">
            <w:pPr>
              <w:rPr>
                <w:rFonts w:ascii="Calibri" w:hAnsi="Calibri"/>
                <w:b/>
                <w:bCs/>
                <w:color w:val="548DD4"/>
              </w:rPr>
            </w:pPr>
            <w:r w:rsidRPr="006B67F6">
              <w:rPr>
                <w:rFonts w:ascii="Calibri" w:hAnsi="Calibri"/>
                <w:color w:val="000000"/>
              </w:rPr>
              <w:t>-0.097</w:t>
            </w:r>
          </w:p>
        </w:tc>
        <w:tc>
          <w:tcPr>
            <w:tcW w:w="236" w:type="dxa"/>
            <w:tcBorders>
              <w:right w:val="single" w:sz="4" w:space="0" w:color="auto"/>
            </w:tcBorders>
          </w:tcPr>
          <w:p w:rsidR="006B67F6" w:rsidRPr="006303BE" w:rsidRDefault="006B67F6" w:rsidP="00CB3BD3">
            <w:pPr>
              <w:rPr>
                <w:rFonts w:ascii="Calibri" w:hAnsi="Calibri"/>
                <w:color w:val="000000"/>
                <w:sz w:val="20"/>
              </w:rPr>
            </w:pPr>
          </w:p>
        </w:tc>
        <w:tc>
          <w:tcPr>
            <w:tcW w:w="236" w:type="dxa"/>
            <w:tcBorders>
              <w:left w:val="single" w:sz="4" w:space="0" w:color="auto"/>
            </w:tcBorders>
          </w:tcPr>
          <w:p w:rsidR="006B67F6" w:rsidRPr="006303BE" w:rsidRDefault="006B67F6" w:rsidP="00CB3BD3">
            <w:pPr>
              <w:rPr>
                <w:rFonts w:ascii="Calibri" w:hAnsi="Calibri"/>
                <w:color w:val="000000"/>
                <w:sz w:val="20"/>
              </w:rPr>
            </w:pPr>
          </w:p>
        </w:tc>
        <w:tc>
          <w:tcPr>
            <w:tcW w:w="1361" w:type="dxa"/>
            <w:vAlign w:val="center"/>
          </w:tcPr>
          <w:p w:rsidR="006B67F6" w:rsidRDefault="006B67F6">
            <w:pPr>
              <w:rPr>
                <w:rFonts w:ascii="Calibri" w:hAnsi="Calibri"/>
                <w:color w:val="000000"/>
              </w:rPr>
            </w:pPr>
            <w:r>
              <w:rPr>
                <w:rFonts w:ascii="Calibri" w:hAnsi="Calibri"/>
                <w:color w:val="000000"/>
              </w:rPr>
              <w:t>-0.685</w:t>
            </w:r>
          </w:p>
        </w:tc>
        <w:tc>
          <w:tcPr>
            <w:tcW w:w="236" w:type="dxa"/>
            <w:vAlign w:val="center"/>
          </w:tcPr>
          <w:p w:rsidR="006B67F6" w:rsidRDefault="006B67F6">
            <w:pPr>
              <w:rPr>
                <w:rFonts w:ascii="Calibri" w:hAnsi="Calibri"/>
                <w:color w:val="000000"/>
              </w:rPr>
            </w:pPr>
          </w:p>
        </w:tc>
        <w:tc>
          <w:tcPr>
            <w:tcW w:w="1361" w:type="dxa"/>
            <w:vAlign w:val="center"/>
          </w:tcPr>
          <w:p w:rsidR="006B67F6" w:rsidRPr="006B67F6" w:rsidRDefault="006B67F6">
            <w:pPr>
              <w:rPr>
                <w:rFonts w:ascii="Calibri" w:hAnsi="Calibri"/>
                <w:color w:val="000000"/>
              </w:rPr>
            </w:pPr>
            <w:r w:rsidRPr="006B67F6">
              <w:rPr>
                <w:rFonts w:ascii="Calibri" w:hAnsi="Calibri"/>
                <w:color w:val="000000"/>
              </w:rPr>
              <w:t>-0.130</w:t>
            </w:r>
          </w:p>
        </w:tc>
        <w:tc>
          <w:tcPr>
            <w:tcW w:w="236" w:type="dxa"/>
            <w:vAlign w:val="center"/>
          </w:tcPr>
          <w:p w:rsidR="006B67F6" w:rsidRPr="006B67F6" w:rsidRDefault="006B67F6">
            <w:pPr>
              <w:rPr>
                <w:rFonts w:ascii="Calibri" w:hAnsi="Calibri"/>
                <w:color w:val="000000"/>
              </w:rPr>
            </w:pPr>
          </w:p>
        </w:tc>
        <w:tc>
          <w:tcPr>
            <w:tcW w:w="1361" w:type="dxa"/>
            <w:vAlign w:val="center"/>
          </w:tcPr>
          <w:p w:rsidR="006B67F6" w:rsidRDefault="006B67F6">
            <w:pPr>
              <w:rPr>
                <w:rFonts w:ascii="Calibri" w:hAnsi="Calibri"/>
                <w:color w:val="000000"/>
              </w:rPr>
            </w:pPr>
            <w:r w:rsidRPr="006B67F6">
              <w:rPr>
                <w:rFonts w:ascii="Calibri" w:hAnsi="Calibri"/>
                <w:b/>
                <w:bCs/>
                <w:color w:val="FF0000"/>
              </w:rPr>
              <w:t>-0.170 *</w:t>
            </w:r>
          </w:p>
        </w:tc>
        <w:tc>
          <w:tcPr>
            <w:tcW w:w="236" w:type="dxa"/>
            <w:vAlign w:val="center"/>
          </w:tcPr>
          <w:p w:rsidR="006B67F6" w:rsidRDefault="006B67F6">
            <w:pPr>
              <w:rPr>
                <w:rFonts w:ascii="Calibri" w:hAnsi="Calibri"/>
                <w:color w:val="000000"/>
              </w:rPr>
            </w:pPr>
          </w:p>
        </w:tc>
        <w:tc>
          <w:tcPr>
            <w:tcW w:w="1365" w:type="dxa"/>
            <w:vAlign w:val="center"/>
          </w:tcPr>
          <w:p w:rsidR="006B67F6" w:rsidRPr="006B67F6" w:rsidRDefault="006B67F6">
            <w:pPr>
              <w:rPr>
                <w:rFonts w:ascii="Calibri" w:hAnsi="Calibri"/>
                <w:color w:val="000000"/>
              </w:rPr>
            </w:pPr>
            <w:r w:rsidRPr="006B67F6">
              <w:rPr>
                <w:rFonts w:ascii="Calibri" w:hAnsi="Calibri"/>
                <w:color w:val="000000"/>
              </w:rPr>
              <w:t>0.022</w:t>
            </w:r>
          </w:p>
        </w:tc>
      </w:tr>
      <w:tr w:rsidR="008E5871" w:rsidRPr="00CE5797" w:rsidTr="00C46F3D">
        <w:trPr>
          <w:trHeight w:val="20"/>
          <w:jc w:val="center"/>
        </w:trPr>
        <w:tc>
          <w:tcPr>
            <w:tcW w:w="1361" w:type="dxa"/>
          </w:tcPr>
          <w:p w:rsidR="008E5871" w:rsidRPr="00CE5797" w:rsidRDefault="008E5871" w:rsidP="00CB3BD3">
            <w:pPr>
              <w:jc w:val="center"/>
              <w:rPr>
                <w:sz w:val="18"/>
                <w:szCs w:val="20"/>
              </w:rPr>
            </w:pPr>
          </w:p>
        </w:tc>
        <w:tc>
          <w:tcPr>
            <w:tcW w:w="236" w:type="dxa"/>
          </w:tcPr>
          <w:p w:rsidR="008E5871" w:rsidRPr="00CE5797" w:rsidRDefault="008E5871" w:rsidP="00CB3BD3">
            <w:pPr>
              <w:jc w:val="center"/>
              <w:rPr>
                <w:sz w:val="18"/>
                <w:szCs w:val="20"/>
              </w:rPr>
            </w:pPr>
          </w:p>
        </w:tc>
        <w:tc>
          <w:tcPr>
            <w:tcW w:w="1361" w:type="dxa"/>
            <w:vAlign w:val="center"/>
          </w:tcPr>
          <w:p w:rsidR="008E5871" w:rsidRDefault="008E5871">
            <w:pPr>
              <w:rPr>
                <w:rFonts w:ascii="Calibri" w:hAnsi="Calibri"/>
                <w:color w:val="000000"/>
                <w:sz w:val="18"/>
                <w:szCs w:val="18"/>
              </w:rPr>
            </w:pPr>
          </w:p>
        </w:tc>
        <w:tc>
          <w:tcPr>
            <w:tcW w:w="236" w:type="dxa"/>
            <w:vAlign w:val="center"/>
          </w:tcPr>
          <w:p w:rsidR="008E5871" w:rsidRDefault="008E5871">
            <w:pPr>
              <w:rPr>
                <w:rFonts w:ascii="Calibri" w:hAnsi="Calibri"/>
                <w:color w:val="000000"/>
                <w:sz w:val="18"/>
                <w:szCs w:val="18"/>
              </w:rPr>
            </w:pPr>
          </w:p>
        </w:tc>
        <w:tc>
          <w:tcPr>
            <w:tcW w:w="1361" w:type="dxa"/>
            <w:vAlign w:val="center"/>
          </w:tcPr>
          <w:p w:rsidR="008E5871" w:rsidRDefault="008E5871">
            <w:pPr>
              <w:rPr>
                <w:rFonts w:ascii="Calibri" w:hAnsi="Calibri"/>
                <w:color w:val="000000"/>
                <w:sz w:val="18"/>
                <w:szCs w:val="18"/>
              </w:rPr>
            </w:pPr>
          </w:p>
        </w:tc>
        <w:tc>
          <w:tcPr>
            <w:tcW w:w="236" w:type="dxa"/>
            <w:vAlign w:val="center"/>
          </w:tcPr>
          <w:p w:rsidR="008E5871" w:rsidRDefault="008E5871">
            <w:pPr>
              <w:rPr>
                <w:rFonts w:ascii="Calibri" w:hAnsi="Calibri"/>
                <w:color w:val="000000"/>
                <w:sz w:val="18"/>
                <w:szCs w:val="18"/>
              </w:rPr>
            </w:pPr>
          </w:p>
        </w:tc>
        <w:tc>
          <w:tcPr>
            <w:tcW w:w="1361" w:type="dxa"/>
            <w:vAlign w:val="center"/>
          </w:tcPr>
          <w:p w:rsidR="008E5871" w:rsidRDefault="008E5871">
            <w:pPr>
              <w:rPr>
                <w:rFonts w:ascii="Calibri" w:hAnsi="Calibri"/>
                <w:color w:val="000000"/>
                <w:sz w:val="18"/>
                <w:szCs w:val="18"/>
              </w:rPr>
            </w:pPr>
          </w:p>
        </w:tc>
        <w:tc>
          <w:tcPr>
            <w:tcW w:w="236" w:type="dxa"/>
            <w:vAlign w:val="center"/>
          </w:tcPr>
          <w:p w:rsidR="008E5871" w:rsidRDefault="008E5871">
            <w:pPr>
              <w:rPr>
                <w:rFonts w:ascii="Calibri" w:hAnsi="Calibri"/>
                <w:color w:val="000000"/>
                <w:sz w:val="18"/>
                <w:szCs w:val="18"/>
              </w:rPr>
            </w:pPr>
          </w:p>
        </w:tc>
        <w:tc>
          <w:tcPr>
            <w:tcW w:w="1361" w:type="dxa"/>
            <w:vAlign w:val="center"/>
          </w:tcPr>
          <w:p w:rsidR="008E5871" w:rsidRDefault="008E5871">
            <w:pPr>
              <w:rPr>
                <w:rFonts w:ascii="Calibri" w:hAnsi="Calibri"/>
                <w:color w:val="000000"/>
                <w:sz w:val="18"/>
                <w:szCs w:val="18"/>
              </w:rPr>
            </w:pPr>
          </w:p>
        </w:tc>
        <w:tc>
          <w:tcPr>
            <w:tcW w:w="236" w:type="dxa"/>
            <w:tcBorders>
              <w:right w:val="single" w:sz="4" w:space="0" w:color="auto"/>
            </w:tcBorders>
          </w:tcPr>
          <w:p w:rsidR="008E5871" w:rsidRPr="00CE5797" w:rsidRDefault="008E5871" w:rsidP="00CB3BD3">
            <w:pPr>
              <w:rPr>
                <w:rFonts w:ascii="Calibri" w:hAnsi="Calibri"/>
                <w:color w:val="000000"/>
                <w:sz w:val="18"/>
              </w:rPr>
            </w:pPr>
          </w:p>
        </w:tc>
        <w:tc>
          <w:tcPr>
            <w:tcW w:w="236" w:type="dxa"/>
            <w:tcBorders>
              <w:left w:val="single" w:sz="4" w:space="0" w:color="auto"/>
            </w:tcBorders>
          </w:tcPr>
          <w:p w:rsidR="008E5871" w:rsidRPr="00CE5797" w:rsidRDefault="008E5871" w:rsidP="00CB3BD3">
            <w:pPr>
              <w:rPr>
                <w:rFonts w:ascii="Calibri" w:hAnsi="Calibri"/>
                <w:color w:val="000000"/>
                <w:sz w:val="18"/>
              </w:rPr>
            </w:pPr>
          </w:p>
        </w:tc>
        <w:tc>
          <w:tcPr>
            <w:tcW w:w="1361" w:type="dxa"/>
            <w:vAlign w:val="center"/>
          </w:tcPr>
          <w:p w:rsidR="008E5871" w:rsidRDefault="008E5871">
            <w:pPr>
              <w:rPr>
                <w:rFonts w:ascii="Calibri" w:hAnsi="Calibri"/>
                <w:color w:val="000000"/>
                <w:sz w:val="18"/>
                <w:szCs w:val="18"/>
              </w:rPr>
            </w:pPr>
          </w:p>
        </w:tc>
        <w:tc>
          <w:tcPr>
            <w:tcW w:w="236" w:type="dxa"/>
            <w:vAlign w:val="center"/>
          </w:tcPr>
          <w:p w:rsidR="008E5871" w:rsidRDefault="008E5871">
            <w:pPr>
              <w:rPr>
                <w:rFonts w:ascii="Calibri" w:hAnsi="Calibri"/>
                <w:color w:val="000000"/>
                <w:sz w:val="18"/>
                <w:szCs w:val="18"/>
              </w:rPr>
            </w:pPr>
          </w:p>
        </w:tc>
        <w:tc>
          <w:tcPr>
            <w:tcW w:w="1361" w:type="dxa"/>
            <w:vAlign w:val="center"/>
          </w:tcPr>
          <w:p w:rsidR="008E5871" w:rsidRDefault="008E5871">
            <w:pPr>
              <w:rPr>
                <w:rFonts w:ascii="Calibri" w:hAnsi="Calibri"/>
                <w:color w:val="000000"/>
                <w:sz w:val="18"/>
                <w:szCs w:val="18"/>
              </w:rPr>
            </w:pPr>
          </w:p>
        </w:tc>
        <w:tc>
          <w:tcPr>
            <w:tcW w:w="236" w:type="dxa"/>
            <w:vAlign w:val="center"/>
          </w:tcPr>
          <w:p w:rsidR="008E5871" w:rsidRDefault="008E5871">
            <w:pPr>
              <w:rPr>
                <w:rFonts w:ascii="Calibri" w:hAnsi="Calibri"/>
                <w:color w:val="000000"/>
                <w:sz w:val="18"/>
                <w:szCs w:val="18"/>
              </w:rPr>
            </w:pPr>
          </w:p>
        </w:tc>
        <w:tc>
          <w:tcPr>
            <w:tcW w:w="1361" w:type="dxa"/>
            <w:vAlign w:val="center"/>
          </w:tcPr>
          <w:p w:rsidR="008E5871" w:rsidRDefault="008E5871">
            <w:pPr>
              <w:rPr>
                <w:rFonts w:ascii="Calibri" w:hAnsi="Calibri"/>
                <w:color w:val="000000"/>
                <w:sz w:val="18"/>
                <w:szCs w:val="18"/>
              </w:rPr>
            </w:pPr>
          </w:p>
        </w:tc>
        <w:tc>
          <w:tcPr>
            <w:tcW w:w="236" w:type="dxa"/>
            <w:vAlign w:val="center"/>
          </w:tcPr>
          <w:p w:rsidR="008E5871" w:rsidRDefault="008E5871">
            <w:pPr>
              <w:rPr>
                <w:rFonts w:ascii="Calibri" w:hAnsi="Calibri"/>
                <w:color w:val="000000"/>
                <w:sz w:val="18"/>
                <w:szCs w:val="18"/>
              </w:rPr>
            </w:pPr>
          </w:p>
        </w:tc>
        <w:tc>
          <w:tcPr>
            <w:tcW w:w="1365" w:type="dxa"/>
            <w:vAlign w:val="center"/>
          </w:tcPr>
          <w:p w:rsidR="008E5871" w:rsidRDefault="008E5871">
            <w:pPr>
              <w:rPr>
                <w:rFonts w:ascii="Calibri" w:hAnsi="Calibri"/>
                <w:color w:val="000000"/>
                <w:sz w:val="18"/>
                <w:szCs w:val="18"/>
              </w:rPr>
            </w:pPr>
          </w:p>
        </w:tc>
      </w:tr>
      <w:tr w:rsidR="006B67F6" w:rsidRPr="00CE5797" w:rsidTr="00C46F3D">
        <w:trPr>
          <w:trHeight w:val="254"/>
          <w:jc w:val="center"/>
        </w:trPr>
        <w:tc>
          <w:tcPr>
            <w:tcW w:w="1361" w:type="dxa"/>
          </w:tcPr>
          <w:p w:rsidR="006B67F6" w:rsidRPr="00CE5797" w:rsidRDefault="006B67F6" w:rsidP="00CB3BD3">
            <w:pPr>
              <w:jc w:val="center"/>
              <w:rPr>
                <w:i/>
                <w:sz w:val="18"/>
                <w:szCs w:val="20"/>
              </w:rPr>
            </w:pPr>
            <w:r w:rsidRPr="00CE5797">
              <w:rPr>
                <w:i/>
                <w:sz w:val="18"/>
                <w:szCs w:val="20"/>
              </w:rPr>
              <w:t>Adj-R</w:t>
            </w:r>
            <w:r w:rsidRPr="00CE5797">
              <w:rPr>
                <w:i/>
                <w:sz w:val="18"/>
                <w:szCs w:val="20"/>
                <w:vertAlign w:val="superscript"/>
              </w:rPr>
              <w:t>2</w:t>
            </w:r>
          </w:p>
        </w:tc>
        <w:tc>
          <w:tcPr>
            <w:tcW w:w="236" w:type="dxa"/>
          </w:tcPr>
          <w:p w:rsidR="006B67F6" w:rsidRPr="00CE5797" w:rsidRDefault="006B67F6" w:rsidP="00CB3BD3">
            <w:pPr>
              <w:jc w:val="center"/>
              <w:rPr>
                <w:sz w:val="18"/>
                <w:szCs w:val="20"/>
              </w:rPr>
            </w:pPr>
          </w:p>
        </w:tc>
        <w:tc>
          <w:tcPr>
            <w:tcW w:w="1361" w:type="dxa"/>
            <w:vAlign w:val="center"/>
          </w:tcPr>
          <w:p w:rsidR="006B67F6" w:rsidRDefault="006B67F6">
            <w:pPr>
              <w:jc w:val="right"/>
              <w:rPr>
                <w:rFonts w:ascii="Calibri" w:hAnsi="Calibri"/>
                <w:color w:val="000000"/>
                <w:sz w:val="18"/>
                <w:szCs w:val="18"/>
              </w:rPr>
            </w:pPr>
            <w:r>
              <w:rPr>
                <w:rFonts w:ascii="Calibri" w:hAnsi="Calibri"/>
                <w:color w:val="000000"/>
                <w:sz w:val="18"/>
                <w:szCs w:val="18"/>
              </w:rPr>
              <w:t>1.29%</w:t>
            </w:r>
          </w:p>
        </w:tc>
        <w:tc>
          <w:tcPr>
            <w:tcW w:w="236" w:type="dxa"/>
            <w:vAlign w:val="center"/>
          </w:tcPr>
          <w:p w:rsidR="006B67F6" w:rsidRDefault="006B67F6">
            <w:pPr>
              <w:rPr>
                <w:rFonts w:ascii="Calibri" w:hAnsi="Calibri"/>
                <w:color w:val="000000"/>
                <w:sz w:val="18"/>
                <w:szCs w:val="18"/>
              </w:rPr>
            </w:pPr>
          </w:p>
        </w:tc>
        <w:tc>
          <w:tcPr>
            <w:tcW w:w="1361" w:type="dxa"/>
            <w:vAlign w:val="center"/>
          </w:tcPr>
          <w:p w:rsidR="006B67F6" w:rsidRDefault="006B67F6">
            <w:pPr>
              <w:jc w:val="right"/>
              <w:rPr>
                <w:rFonts w:ascii="Calibri" w:hAnsi="Calibri"/>
                <w:color w:val="000000"/>
                <w:sz w:val="18"/>
                <w:szCs w:val="18"/>
              </w:rPr>
            </w:pPr>
            <w:r>
              <w:rPr>
                <w:rFonts w:ascii="Calibri" w:hAnsi="Calibri"/>
                <w:color w:val="000000"/>
                <w:sz w:val="18"/>
                <w:szCs w:val="18"/>
              </w:rPr>
              <w:t>12.14%</w:t>
            </w:r>
          </w:p>
        </w:tc>
        <w:tc>
          <w:tcPr>
            <w:tcW w:w="236" w:type="dxa"/>
            <w:vAlign w:val="center"/>
          </w:tcPr>
          <w:p w:rsidR="006B67F6" w:rsidRDefault="006B67F6">
            <w:pPr>
              <w:rPr>
                <w:rFonts w:ascii="Calibri" w:hAnsi="Calibri"/>
                <w:color w:val="000000"/>
                <w:sz w:val="18"/>
                <w:szCs w:val="18"/>
              </w:rPr>
            </w:pPr>
          </w:p>
        </w:tc>
        <w:tc>
          <w:tcPr>
            <w:tcW w:w="1361" w:type="dxa"/>
            <w:vAlign w:val="center"/>
          </w:tcPr>
          <w:p w:rsidR="006B67F6" w:rsidRDefault="006B67F6">
            <w:pPr>
              <w:jc w:val="right"/>
              <w:rPr>
                <w:rFonts w:ascii="Calibri" w:hAnsi="Calibri"/>
                <w:color w:val="000000"/>
                <w:sz w:val="18"/>
                <w:szCs w:val="18"/>
              </w:rPr>
            </w:pPr>
            <w:r>
              <w:rPr>
                <w:rFonts w:ascii="Calibri" w:hAnsi="Calibri"/>
                <w:color w:val="000000"/>
                <w:sz w:val="18"/>
                <w:szCs w:val="18"/>
              </w:rPr>
              <w:t>19.09%</w:t>
            </w:r>
          </w:p>
        </w:tc>
        <w:tc>
          <w:tcPr>
            <w:tcW w:w="236" w:type="dxa"/>
            <w:vAlign w:val="center"/>
          </w:tcPr>
          <w:p w:rsidR="006B67F6" w:rsidRDefault="006B67F6">
            <w:pPr>
              <w:rPr>
                <w:rFonts w:ascii="Calibri" w:hAnsi="Calibri"/>
                <w:color w:val="000000"/>
                <w:sz w:val="18"/>
                <w:szCs w:val="18"/>
              </w:rPr>
            </w:pPr>
          </w:p>
        </w:tc>
        <w:tc>
          <w:tcPr>
            <w:tcW w:w="1361" w:type="dxa"/>
            <w:vAlign w:val="center"/>
          </w:tcPr>
          <w:p w:rsidR="006B67F6" w:rsidRDefault="006B67F6">
            <w:pPr>
              <w:jc w:val="right"/>
              <w:rPr>
                <w:rFonts w:ascii="Calibri" w:hAnsi="Calibri"/>
                <w:color w:val="000000"/>
                <w:sz w:val="18"/>
                <w:szCs w:val="18"/>
              </w:rPr>
            </w:pPr>
            <w:r>
              <w:rPr>
                <w:rFonts w:ascii="Calibri" w:hAnsi="Calibri"/>
                <w:color w:val="000000"/>
                <w:sz w:val="18"/>
                <w:szCs w:val="18"/>
              </w:rPr>
              <w:t>6.14%</w:t>
            </w:r>
          </w:p>
        </w:tc>
        <w:tc>
          <w:tcPr>
            <w:tcW w:w="236" w:type="dxa"/>
            <w:tcBorders>
              <w:right w:val="single" w:sz="4" w:space="0" w:color="auto"/>
            </w:tcBorders>
          </w:tcPr>
          <w:p w:rsidR="006B67F6" w:rsidRPr="00CE5797" w:rsidRDefault="006B67F6" w:rsidP="00CB3BD3">
            <w:pPr>
              <w:jc w:val="right"/>
              <w:rPr>
                <w:rFonts w:ascii="Calibri" w:hAnsi="Calibri"/>
                <w:color w:val="000000"/>
                <w:sz w:val="18"/>
              </w:rPr>
            </w:pPr>
          </w:p>
        </w:tc>
        <w:tc>
          <w:tcPr>
            <w:tcW w:w="236" w:type="dxa"/>
            <w:tcBorders>
              <w:left w:val="single" w:sz="4" w:space="0" w:color="auto"/>
            </w:tcBorders>
          </w:tcPr>
          <w:p w:rsidR="006B67F6" w:rsidRPr="00CE5797" w:rsidRDefault="006B67F6" w:rsidP="00CB3BD3">
            <w:pPr>
              <w:jc w:val="right"/>
              <w:rPr>
                <w:rFonts w:ascii="Calibri" w:hAnsi="Calibri"/>
                <w:color w:val="000000"/>
                <w:sz w:val="18"/>
              </w:rPr>
            </w:pPr>
          </w:p>
        </w:tc>
        <w:tc>
          <w:tcPr>
            <w:tcW w:w="1361" w:type="dxa"/>
            <w:vAlign w:val="center"/>
          </w:tcPr>
          <w:p w:rsidR="006B67F6" w:rsidRDefault="006B67F6">
            <w:pPr>
              <w:jc w:val="right"/>
              <w:rPr>
                <w:rFonts w:ascii="Calibri" w:hAnsi="Calibri"/>
                <w:color w:val="000000"/>
                <w:sz w:val="18"/>
                <w:szCs w:val="18"/>
              </w:rPr>
            </w:pPr>
            <w:r>
              <w:rPr>
                <w:rFonts w:ascii="Calibri" w:hAnsi="Calibri"/>
                <w:color w:val="000000"/>
                <w:sz w:val="18"/>
                <w:szCs w:val="18"/>
              </w:rPr>
              <w:t>1.91%</w:t>
            </w:r>
          </w:p>
        </w:tc>
        <w:tc>
          <w:tcPr>
            <w:tcW w:w="236" w:type="dxa"/>
            <w:vAlign w:val="center"/>
          </w:tcPr>
          <w:p w:rsidR="006B67F6" w:rsidRDefault="006B67F6">
            <w:pPr>
              <w:rPr>
                <w:rFonts w:ascii="Calibri" w:hAnsi="Calibri"/>
                <w:color w:val="000000"/>
                <w:sz w:val="18"/>
                <w:szCs w:val="18"/>
              </w:rPr>
            </w:pPr>
          </w:p>
        </w:tc>
        <w:tc>
          <w:tcPr>
            <w:tcW w:w="1361" w:type="dxa"/>
            <w:vAlign w:val="center"/>
          </w:tcPr>
          <w:p w:rsidR="006B67F6" w:rsidRDefault="006B67F6">
            <w:pPr>
              <w:jc w:val="right"/>
              <w:rPr>
                <w:rFonts w:ascii="Calibri" w:hAnsi="Calibri"/>
                <w:color w:val="000000"/>
                <w:sz w:val="18"/>
                <w:szCs w:val="18"/>
              </w:rPr>
            </w:pPr>
            <w:r>
              <w:rPr>
                <w:rFonts w:ascii="Calibri" w:hAnsi="Calibri"/>
                <w:color w:val="000000"/>
                <w:sz w:val="18"/>
                <w:szCs w:val="18"/>
              </w:rPr>
              <w:t>10.29%</w:t>
            </w:r>
          </w:p>
        </w:tc>
        <w:tc>
          <w:tcPr>
            <w:tcW w:w="236" w:type="dxa"/>
            <w:vAlign w:val="center"/>
          </w:tcPr>
          <w:p w:rsidR="006B67F6" w:rsidRDefault="006B67F6">
            <w:pPr>
              <w:rPr>
                <w:rFonts w:ascii="Calibri" w:hAnsi="Calibri"/>
                <w:color w:val="000000"/>
                <w:sz w:val="18"/>
                <w:szCs w:val="18"/>
              </w:rPr>
            </w:pPr>
          </w:p>
        </w:tc>
        <w:tc>
          <w:tcPr>
            <w:tcW w:w="1361" w:type="dxa"/>
            <w:vAlign w:val="center"/>
          </w:tcPr>
          <w:p w:rsidR="006B67F6" w:rsidRDefault="006B67F6">
            <w:pPr>
              <w:jc w:val="right"/>
              <w:rPr>
                <w:rFonts w:ascii="Calibri" w:hAnsi="Calibri"/>
                <w:color w:val="000000"/>
                <w:sz w:val="18"/>
                <w:szCs w:val="18"/>
              </w:rPr>
            </w:pPr>
            <w:r>
              <w:rPr>
                <w:rFonts w:ascii="Calibri" w:hAnsi="Calibri"/>
                <w:color w:val="000000"/>
                <w:sz w:val="18"/>
                <w:szCs w:val="18"/>
              </w:rPr>
              <w:t>9.78%</w:t>
            </w:r>
          </w:p>
        </w:tc>
        <w:tc>
          <w:tcPr>
            <w:tcW w:w="236" w:type="dxa"/>
            <w:vAlign w:val="center"/>
          </w:tcPr>
          <w:p w:rsidR="006B67F6" w:rsidRDefault="006B67F6">
            <w:pPr>
              <w:rPr>
                <w:rFonts w:ascii="Calibri" w:hAnsi="Calibri"/>
                <w:color w:val="000000"/>
                <w:sz w:val="18"/>
                <w:szCs w:val="18"/>
              </w:rPr>
            </w:pPr>
          </w:p>
        </w:tc>
        <w:tc>
          <w:tcPr>
            <w:tcW w:w="1365" w:type="dxa"/>
            <w:vAlign w:val="center"/>
          </w:tcPr>
          <w:p w:rsidR="006B67F6" w:rsidRDefault="006B67F6">
            <w:pPr>
              <w:jc w:val="right"/>
              <w:rPr>
                <w:rFonts w:ascii="Calibri" w:hAnsi="Calibri"/>
                <w:color w:val="000000"/>
                <w:sz w:val="18"/>
                <w:szCs w:val="18"/>
              </w:rPr>
            </w:pPr>
            <w:r>
              <w:rPr>
                <w:rFonts w:ascii="Calibri" w:hAnsi="Calibri"/>
                <w:color w:val="000000"/>
                <w:sz w:val="18"/>
                <w:szCs w:val="18"/>
              </w:rPr>
              <w:t>3.57%</w:t>
            </w:r>
          </w:p>
        </w:tc>
      </w:tr>
      <w:tr w:rsidR="006B67F6" w:rsidRPr="00CE5797" w:rsidTr="00C46F3D">
        <w:trPr>
          <w:trHeight w:val="254"/>
          <w:jc w:val="center"/>
        </w:trPr>
        <w:tc>
          <w:tcPr>
            <w:tcW w:w="1361" w:type="dxa"/>
          </w:tcPr>
          <w:p w:rsidR="006B67F6" w:rsidRPr="00CE5797" w:rsidRDefault="006B67F6" w:rsidP="00CB3BD3">
            <w:pPr>
              <w:jc w:val="center"/>
              <w:rPr>
                <w:i/>
                <w:sz w:val="18"/>
                <w:szCs w:val="20"/>
              </w:rPr>
            </w:pPr>
            <w:r w:rsidRPr="00CE5797">
              <w:rPr>
                <w:i/>
                <w:sz w:val="18"/>
                <w:szCs w:val="20"/>
              </w:rPr>
              <w:t>Per/Cross-sec</w:t>
            </w:r>
          </w:p>
        </w:tc>
        <w:tc>
          <w:tcPr>
            <w:tcW w:w="236" w:type="dxa"/>
          </w:tcPr>
          <w:p w:rsidR="006B67F6" w:rsidRPr="00CE5797" w:rsidRDefault="006B67F6" w:rsidP="00CB3BD3">
            <w:pPr>
              <w:jc w:val="center"/>
              <w:rPr>
                <w:sz w:val="18"/>
                <w:szCs w:val="20"/>
              </w:rPr>
            </w:pPr>
          </w:p>
        </w:tc>
        <w:tc>
          <w:tcPr>
            <w:tcW w:w="1361" w:type="dxa"/>
            <w:vAlign w:val="center"/>
          </w:tcPr>
          <w:p w:rsidR="006B67F6" w:rsidRDefault="006B67F6">
            <w:pPr>
              <w:jc w:val="center"/>
              <w:rPr>
                <w:rFonts w:ascii="Calibri" w:hAnsi="Calibri"/>
                <w:i/>
                <w:iCs/>
                <w:color w:val="000000"/>
                <w:sz w:val="18"/>
                <w:szCs w:val="18"/>
              </w:rPr>
            </w:pPr>
            <w:r>
              <w:rPr>
                <w:rFonts w:ascii="Calibri" w:hAnsi="Calibri"/>
                <w:i/>
                <w:iCs/>
                <w:color w:val="000000"/>
                <w:sz w:val="18"/>
                <w:szCs w:val="18"/>
              </w:rPr>
              <w:t>643/73</w:t>
            </w:r>
          </w:p>
        </w:tc>
        <w:tc>
          <w:tcPr>
            <w:tcW w:w="236" w:type="dxa"/>
            <w:vAlign w:val="center"/>
          </w:tcPr>
          <w:p w:rsidR="006B67F6" w:rsidRDefault="006B67F6">
            <w:pPr>
              <w:jc w:val="center"/>
              <w:rPr>
                <w:rFonts w:ascii="Calibri" w:hAnsi="Calibri"/>
                <w:i/>
                <w:iCs/>
                <w:color w:val="000000"/>
                <w:sz w:val="18"/>
                <w:szCs w:val="18"/>
              </w:rPr>
            </w:pPr>
          </w:p>
        </w:tc>
        <w:tc>
          <w:tcPr>
            <w:tcW w:w="1361" w:type="dxa"/>
            <w:vAlign w:val="center"/>
          </w:tcPr>
          <w:p w:rsidR="006B67F6" w:rsidRDefault="006B67F6">
            <w:pPr>
              <w:jc w:val="center"/>
              <w:rPr>
                <w:rFonts w:ascii="Calibri" w:hAnsi="Calibri"/>
                <w:i/>
                <w:iCs/>
                <w:color w:val="000000"/>
                <w:sz w:val="18"/>
                <w:szCs w:val="18"/>
              </w:rPr>
            </w:pPr>
            <w:r>
              <w:rPr>
                <w:rFonts w:ascii="Calibri" w:hAnsi="Calibri"/>
                <w:i/>
                <w:iCs/>
                <w:color w:val="000000"/>
                <w:sz w:val="18"/>
                <w:szCs w:val="18"/>
              </w:rPr>
              <w:t>609/84</w:t>
            </w:r>
          </w:p>
        </w:tc>
        <w:tc>
          <w:tcPr>
            <w:tcW w:w="236" w:type="dxa"/>
            <w:vAlign w:val="center"/>
          </w:tcPr>
          <w:p w:rsidR="006B67F6" w:rsidRDefault="006B67F6">
            <w:pPr>
              <w:jc w:val="center"/>
              <w:rPr>
                <w:rFonts w:ascii="Calibri" w:hAnsi="Calibri"/>
                <w:i/>
                <w:iCs/>
                <w:color w:val="000000"/>
                <w:sz w:val="18"/>
                <w:szCs w:val="18"/>
              </w:rPr>
            </w:pPr>
          </w:p>
        </w:tc>
        <w:tc>
          <w:tcPr>
            <w:tcW w:w="1361" w:type="dxa"/>
            <w:vAlign w:val="center"/>
          </w:tcPr>
          <w:p w:rsidR="006B67F6" w:rsidRDefault="006B67F6">
            <w:pPr>
              <w:jc w:val="center"/>
              <w:rPr>
                <w:rFonts w:ascii="Calibri" w:hAnsi="Calibri"/>
                <w:i/>
                <w:iCs/>
                <w:color w:val="000000"/>
                <w:sz w:val="18"/>
                <w:szCs w:val="18"/>
              </w:rPr>
            </w:pPr>
            <w:r>
              <w:rPr>
                <w:rFonts w:ascii="Calibri" w:hAnsi="Calibri"/>
                <w:i/>
                <w:iCs/>
                <w:color w:val="000000"/>
                <w:sz w:val="18"/>
                <w:szCs w:val="18"/>
              </w:rPr>
              <w:t>513/98</w:t>
            </w:r>
          </w:p>
        </w:tc>
        <w:tc>
          <w:tcPr>
            <w:tcW w:w="236" w:type="dxa"/>
            <w:vAlign w:val="center"/>
          </w:tcPr>
          <w:p w:rsidR="006B67F6" w:rsidRDefault="006B67F6">
            <w:pPr>
              <w:jc w:val="center"/>
              <w:rPr>
                <w:rFonts w:ascii="Calibri" w:hAnsi="Calibri"/>
                <w:i/>
                <w:iCs/>
                <w:color w:val="000000"/>
                <w:sz w:val="18"/>
                <w:szCs w:val="18"/>
              </w:rPr>
            </w:pPr>
          </w:p>
        </w:tc>
        <w:tc>
          <w:tcPr>
            <w:tcW w:w="1361" w:type="dxa"/>
            <w:vAlign w:val="center"/>
          </w:tcPr>
          <w:p w:rsidR="006B67F6" w:rsidRDefault="006B67F6">
            <w:pPr>
              <w:jc w:val="center"/>
              <w:rPr>
                <w:rFonts w:ascii="Calibri" w:hAnsi="Calibri"/>
                <w:i/>
                <w:iCs/>
                <w:color w:val="000000"/>
                <w:sz w:val="18"/>
                <w:szCs w:val="18"/>
              </w:rPr>
            </w:pPr>
            <w:r>
              <w:rPr>
                <w:rFonts w:ascii="Calibri" w:hAnsi="Calibri"/>
                <w:i/>
                <w:iCs/>
                <w:color w:val="000000"/>
                <w:sz w:val="18"/>
                <w:szCs w:val="18"/>
              </w:rPr>
              <w:t>507/111</w:t>
            </w:r>
          </w:p>
        </w:tc>
        <w:tc>
          <w:tcPr>
            <w:tcW w:w="236" w:type="dxa"/>
            <w:tcBorders>
              <w:right w:val="single" w:sz="4" w:space="0" w:color="auto"/>
            </w:tcBorders>
          </w:tcPr>
          <w:p w:rsidR="006B67F6" w:rsidRPr="00ED0AE0" w:rsidRDefault="006B67F6" w:rsidP="00CB3BD3">
            <w:pPr>
              <w:jc w:val="center"/>
              <w:rPr>
                <w:rFonts w:ascii="Calibri" w:hAnsi="Calibri"/>
                <w:i/>
                <w:color w:val="000000"/>
                <w:sz w:val="18"/>
              </w:rPr>
            </w:pPr>
          </w:p>
        </w:tc>
        <w:tc>
          <w:tcPr>
            <w:tcW w:w="236" w:type="dxa"/>
            <w:tcBorders>
              <w:left w:val="single" w:sz="4" w:space="0" w:color="auto"/>
            </w:tcBorders>
          </w:tcPr>
          <w:p w:rsidR="006B67F6" w:rsidRPr="00ED0AE0" w:rsidRDefault="006B67F6" w:rsidP="00CB3BD3">
            <w:pPr>
              <w:jc w:val="center"/>
              <w:rPr>
                <w:rFonts w:ascii="Calibri" w:hAnsi="Calibri"/>
                <w:i/>
                <w:color w:val="000000"/>
                <w:sz w:val="18"/>
              </w:rPr>
            </w:pPr>
          </w:p>
        </w:tc>
        <w:tc>
          <w:tcPr>
            <w:tcW w:w="1361" w:type="dxa"/>
            <w:vAlign w:val="center"/>
          </w:tcPr>
          <w:p w:rsidR="006B67F6" w:rsidRDefault="006B67F6">
            <w:pPr>
              <w:jc w:val="center"/>
              <w:rPr>
                <w:rFonts w:ascii="Calibri" w:hAnsi="Calibri"/>
                <w:i/>
                <w:iCs/>
                <w:color w:val="000000"/>
                <w:sz w:val="18"/>
                <w:szCs w:val="18"/>
              </w:rPr>
            </w:pPr>
            <w:r>
              <w:rPr>
                <w:rFonts w:ascii="Calibri" w:hAnsi="Calibri"/>
                <w:i/>
                <w:iCs/>
                <w:color w:val="000000"/>
                <w:sz w:val="18"/>
                <w:szCs w:val="18"/>
              </w:rPr>
              <w:t>722/68</w:t>
            </w:r>
          </w:p>
        </w:tc>
        <w:tc>
          <w:tcPr>
            <w:tcW w:w="236" w:type="dxa"/>
            <w:vAlign w:val="center"/>
          </w:tcPr>
          <w:p w:rsidR="006B67F6" w:rsidRDefault="006B67F6">
            <w:pPr>
              <w:jc w:val="center"/>
              <w:rPr>
                <w:rFonts w:ascii="Calibri" w:hAnsi="Calibri"/>
                <w:i/>
                <w:iCs/>
                <w:color w:val="000000"/>
                <w:sz w:val="18"/>
                <w:szCs w:val="18"/>
              </w:rPr>
            </w:pPr>
          </w:p>
        </w:tc>
        <w:tc>
          <w:tcPr>
            <w:tcW w:w="1361" w:type="dxa"/>
            <w:vAlign w:val="center"/>
          </w:tcPr>
          <w:p w:rsidR="006B67F6" w:rsidRDefault="006B67F6">
            <w:pPr>
              <w:jc w:val="center"/>
              <w:rPr>
                <w:rFonts w:ascii="Calibri" w:hAnsi="Calibri"/>
                <w:i/>
                <w:iCs/>
                <w:color w:val="000000"/>
                <w:sz w:val="18"/>
                <w:szCs w:val="18"/>
              </w:rPr>
            </w:pPr>
            <w:r>
              <w:rPr>
                <w:rFonts w:ascii="Calibri" w:hAnsi="Calibri"/>
                <w:i/>
                <w:iCs/>
                <w:color w:val="000000"/>
                <w:sz w:val="18"/>
                <w:szCs w:val="18"/>
              </w:rPr>
              <w:t>609/75</w:t>
            </w:r>
          </w:p>
        </w:tc>
        <w:tc>
          <w:tcPr>
            <w:tcW w:w="236" w:type="dxa"/>
            <w:vAlign w:val="center"/>
          </w:tcPr>
          <w:p w:rsidR="006B67F6" w:rsidRDefault="006B67F6">
            <w:pPr>
              <w:jc w:val="center"/>
              <w:rPr>
                <w:rFonts w:ascii="Calibri" w:hAnsi="Calibri"/>
                <w:i/>
                <w:iCs/>
                <w:color w:val="000000"/>
                <w:sz w:val="18"/>
                <w:szCs w:val="18"/>
              </w:rPr>
            </w:pPr>
          </w:p>
        </w:tc>
        <w:tc>
          <w:tcPr>
            <w:tcW w:w="1361" w:type="dxa"/>
            <w:vAlign w:val="center"/>
          </w:tcPr>
          <w:p w:rsidR="006B67F6" w:rsidRDefault="006B67F6">
            <w:pPr>
              <w:jc w:val="center"/>
              <w:rPr>
                <w:rFonts w:ascii="Calibri" w:hAnsi="Calibri"/>
                <w:i/>
                <w:iCs/>
                <w:color w:val="000000"/>
                <w:sz w:val="18"/>
                <w:szCs w:val="18"/>
              </w:rPr>
            </w:pPr>
            <w:r>
              <w:rPr>
                <w:rFonts w:ascii="Calibri" w:hAnsi="Calibri"/>
                <w:i/>
                <w:iCs/>
                <w:color w:val="000000"/>
                <w:sz w:val="18"/>
                <w:szCs w:val="18"/>
              </w:rPr>
              <w:t>513/86</w:t>
            </w:r>
          </w:p>
        </w:tc>
        <w:tc>
          <w:tcPr>
            <w:tcW w:w="236" w:type="dxa"/>
            <w:vAlign w:val="center"/>
          </w:tcPr>
          <w:p w:rsidR="006B67F6" w:rsidRDefault="006B67F6">
            <w:pPr>
              <w:jc w:val="center"/>
              <w:rPr>
                <w:rFonts w:ascii="Calibri" w:hAnsi="Calibri"/>
                <w:i/>
                <w:iCs/>
                <w:color w:val="000000"/>
                <w:sz w:val="18"/>
                <w:szCs w:val="18"/>
              </w:rPr>
            </w:pPr>
          </w:p>
        </w:tc>
        <w:tc>
          <w:tcPr>
            <w:tcW w:w="1365" w:type="dxa"/>
            <w:vAlign w:val="center"/>
          </w:tcPr>
          <w:p w:rsidR="006B67F6" w:rsidRDefault="006B67F6">
            <w:pPr>
              <w:jc w:val="center"/>
              <w:rPr>
                <w:rFonts w:ascii="Calibri" w:hAnsi="Calibri"/>
                <w:i/>
                <w:iCs/>
                <w:color w:val="000000"/>
                <w:sz w:val="18"/>
                <w:szCs w:val="18"/>
              </w:rPr>
            </w:pPr>
            <w:r>
              <w:rPr>
                <w:rFonts w:ascii="Calibri" w:hAnsi="Calibri"/>
                <w:i/>
                <w:iCs/>
                <w:color w:val="000000"/>
                <w:sz w:val="18"/>
                <w:szCs w:val="18"/>
              </w:rPr>
              <w:t>507/108</w:t>
            </w:r>
          </w:p>
        </w:tc>
      </w:tr>
      <w:tr w:rsidR="006B67F6" w:rsidRPr="00CE5797" w:rsidTr="00C46F3D">
        <w:trPr>
          <w:trHeight w:val="254"/>
          <w:jc w:val="center"/>
        </w:trPr>
        <w:tc>
          <w:tcPr>
            <w:tcW w:w="1361" w:type="dxa"/>
            <w:tcBorders>
              <w:bottom w:val="single" w:sz="4" w:space="0" w:color="auto"/>
            </w:tcBorders>
          </w:tcPr>
          <w:p w:rsidR="006B67F6" w:rsidRPr="00CE5797" w:rsidRDefault="006B67F6" w:rsidP="00CB3BD3">
            <w:pPr>
              <w:jc w:val="center"/>
              <w:rPr>
                <w:i/>
                <w:sz w:val="18"/>
                <w:szCs w:val="20"/>
              </w:rPr>
            </w:pPr>
            <w:r w:rsidRPr="00CE5797">
              <w:rPr>
                <w:i/>
                <w:sz w:val="18"/>
                <w:szCs w:val="20"/>
              </w:rPr>
              <w:t>#Obs</w:t>
            </w:r>
          </w:p>
        </w:tc>
        <w:tc>
          <w:tcPr>
            <w:tcW w:w="236" w:type="dxa"/>
            <w:tcBorders>
              <w:bottom w:val="single" w:sz="4" w:space="0" w:color="auto"/>
            </w:tcBorders>
          </w:tcPr>
          <w:p w:rsidR="006B67F6" w:rsidRPr="00CE5797" w:rsidRDefault="006B67F6" w:rsidP="00CB3BD3">
            <w:pPr>
              <w:jc w:val="center"/>
              <w:rPr>
                <w:sz w:val="18"/>
                <w:szCs w:val="20"/>
              </w:rPr>
            </w:pPr>
          </w:p>
        </w:tc>
        <w:tc>
          <w:tcPr>
            <w:tcW w:w="1361" w:type="dxa"/>
            <w:tcBorders>
              <w:bottom w:val="single" w:sz="4" w:space="0" w:color="auto"/>
            </w:tcBorders>
            <w:vAlign w:val="center"/>
          </w:tcPr>
          <w:p w:rsidR="006B67F6" w:rsidRDefault="006B67F6">
            <w:pPr>
              <w:jc w:val="center"/>
              <w:rPr>
                <w:rFonts w:ascii="Calibri" w:hAnsi="Calibri"/>
                <w:i/>
                <w:iCs/>
                <w:color w:val="000000"/>
                <w:sz w:val="18"/>
                <w:szCs w:val="18"/>
              </w:rPr>
            </w:pPr>
            <w:r>
              <w:rPr>
                <w:rFonts w:ascii="Calibri" w:hAnsi="Calibri"/>
                <w:i/>
                <w:iCs/>
                <w:color w:val="000000"/>
                <w:sz w:val="18"/>
                <w:szCs w:val="18"/>
              </w:rPr>
              <w:t>30,480</w:t>
            </w:r>
          </w:p>
        </w:tc>
        <w:tc>
          <w:tcPr>
            <w:tcW w:w="236" w:type="dxa"/>
            <w:tcBorders>
              <w:bottom w:val="single" w:sz="4" w:space="0" w:color="auto"/>
            </w:tcBorders>
            <w:vAlign w:val="center"/>
          </w:tcPr>
          <w:p w:rsidR="006B67F6" w:rsidRDefault="006B67F6">
            <w:pPr>
              <w:jc w:val="center"/>
              <w:rPr>
                <w:rFonts w:ascii="Calibri" w:hAnsi="Calibri"/>
                <w:i/>
                <w:iCs/>
                <w:color w:val="000000"/>
                <w:sz w:val="18"/>
                <w:szCs w:val="18"/>
              </w:rPr>
            </w:pPr>
            <w:r>
              <w:rPr>
                <w:rFonts w:ascii="Calibri" w:hAnsi="Calibri"/>
                <w:i/>
                <w:iCs/>
                <w:color w:val="000000"/>
                <w:sz w:val="18"/>
                <w:szCs w:val="18"/>
              </w:rPr>
              <w:t> </w:t>
            </w:r>
          </w:p>
        </w:tc>
        <w:tc>
          <w:tcPr>
            <w:tcW w:w="1361" w:type="dxa"/>
            <w:tcBorders>
              <w:bottom w:val="single" w:sz="4" w:space="0" w:color="auto"/>
            </w:tcBorders>
            <w:vAlign w:val="center"/>
          </w:tcPr>
          <w:p w:rsidR="006B67F6" w:rsidRDefault="006B67F6">
            <w:pPr>
              <w:jc w:val="center"/>
              <w:rPr>
                <w:rFonts w:ascii="Calibri" w:hAnsi="Calibri"/>
                <w:i/>
                <w:iCs/>
                <w:color w:val="000000"/>
                <w:sz w:val="18"/>
                <w:szCs w:val="18"/>
              </w:rPr>
            </w:pPr>
            <w:r>
              <w:rPr>
                <w:rFonts w:ascii="Calibri" w:hAnsi="Calibri"/>
                <w:i/>
                <w:iCs/>
                <w:color w:val="000000"/>
                <w:sz w:val="18"/>
                <w:szCs w:val="18"/>
              </w:rPr>
              <w:t>35,929</w:t>
            </w:r>
          </w:p>
        </w:tc>
        <w:tc>
          <w:tcPr>
            <w:tcW w:w="236" w:type="dxa"/>
            <w:tcBorders>
              <w:bottom w:val="single" w:sz="4" w:space="0" w:color="auto"/>
            </w:tcBorders>
            <w:vAlign w:val="center"/>
          </w:tcPr>
          <w:p w:rsidR="006B67F6" w:rsidRDefault="006B67F6">
            <w:pPr>
              <w:jc w:val="center"/>
              <w:rPr>
                <w:rFonts w:ascii="Calibri" w:hAnsi="Calibri"/>
                <w:i/>
                <w:iCs/>
                <w:color w:val="000000"/>
                <w:sz w:val="18"/>
                <w:szCs w:val="18"/>
              </w:rPr>
            </w:pPr>
            <w:r>
              <w:rPr>
                <w:rFonts w:ascii="Calibri" w:hAnsi="Calibri"/>
                <w:i/>
                <w:iCs/>
                <w:color w:val="000000"/>
                <w:sz w:val="18"/>
                <w:szCs w:val="18"/>
              </w:rPr>
              <w:t> </w:t>
            </w:r>
          </w:p>
        </w:tc>
        <w:tc>
          <w:tcPr>
            <w:tcW w:w="1361" w:type="dxa"/>
            <w:tcBorders>
              <w:bottom w:val="single" w:sz="4" w:space="0" w:color="auto"/>
            </w:tcBorders>
            <w:vAlign w:val="center"/>
          </w:tcPr>
          <w:p w:rsidR="006B67F6" w:rsidRDefault="006B67F6">
            <w:pPr>
              <w:jc w:val="center"/>
              <w:rPr>
                <w:rFonts w:ascii="Calibri" w:hAnsi="Calibri"/>
                <w:i/>
                <w:iCs/>
                <w:color w:val="000000"/>
                <w:sz w:val="18"/>
                <w:szCs w:val="18"/>
              </w:rPr>
            </w:pPr>
            <w:r>
              <w:rPr>
                <w:rFonts w:ascii="Calibri" w:hAnsi="Calibri"/>
                <w:i/>
                <w:iCs/>
                <w:color w:val="000000"/>
                <w:sz w:val="18"/>
                <w:szCs w:val="18"/>
              </w:rPr>
              <w:t>36,737</w:t>
            </w:r>
          </w:p>
        </w:tc>
        <w:tc>
          <w:tcPr>
            <w:tcW w:w="236" w:type="dxa"/>
            <w:tcBorders>
              <w:bottom w:val="single" w:sz="4" w:space="0" w:color="auto"/>
            </w:tcBorders>
            <w:vAlign w:val="center"/>
          </w:tcPr>
          <w:p w:rsidR="006B67F6" w:rsidRDefault="006B67F6">
            <w:pPr>
              <w:jc w:val="center"/>
              <w:rPr>
                <w:rFonts w:ascii="Calibri" w:hAnsi="Calibri"/>
                <w:i/>
                <w:iCs/>
                <w:color w:val="000000"/>
                <w:sz w:val="18"/>
                <w:szCs w:val="18"/>
              </w:rPr>
            </w:pPr>
            <w:r>
              <w:rPr>
                <w:rFonts w:ascii="Calibri" w:hAnsi="Calibri"/>
                <w:i/>
                <w:iCs/>
                <w:color w:val="000000"/>
                <w:sz w:val="18"/>
                <w:szCs w:val="18"/>
              </w:rPr>
              <w:t> </w:t>
            </w:r>
          </w:p>
        </w:tc>
        <w:tc>
          <w:tcPr>
            <w:tcW w:w="1361" w:type="dxa"/>
            <w:tcBorders>
              <w:bottom w:val="single" w:sz="4" w:space="0" w:color="auto"/>
            </w:tcBorders>
            <w:vAlign w:val="center"/>
          </w:tcPr>
          <w:p w:rsidR="006B67F6" w:rsidRDefault="006B67F6">
            <w:pPr>
              <w:jc w:val="center"/>
              <w:rPr>
                <w:rFonts w:ascii="Calibri" w:hAnsi="Calibri"/>
                <w:i/>
                <w:iCs/>
                <w:color w:val="000000"/>
                <w:sz w:val="18"/>
                <w:szCs w:val="18"/>
              </w:rPr>
            </w:pPr>
            <w:r>
              <w:rPr>
                <w:rFonts w:ascii="Calibri" w:hAnsi="Calibri"/>
                <w:i/>
                <w:iCs/>
                <w:color w:val="000000"/>
                <w:sz w:val="18"/>
                <w:szCs w:val="18"/>
              </w:rPr>
              <w:t>43,697</w:t>
            </w:r>
          </w:p>
        </w:tc>
        <w:tc>
          <w:tcPr>
            <w:tcW w:w="236" w:type="dxa"/>
            <w:tcBorders>
              <w:bottom w:val="single" w:sz="4" w:space="0" w:color="auto"/>
              <w:right w:val="single" w:sz="4" w:space="0" w:color="auto"/>
            </w:tcBorders>
          </w:tcPr>
          <w:p w:rsidR="006B67F6" w:rsidRPr="00ED0AE0" w:rsidRDefault="006B67F6" w:rsidP="00CB3BD3">
            <w:pPr>
              <w:jc w:val="center"/>
              <w:rPr>
                <w:rFonts w:ascii="Calibri" w:hAnsi="Calibri"/>
                <w:i/>
                <w:color w:val="000000"/>
                <w:sz w:val="18"/>
              </w:rPr>
            </w:pPr>
          </w:p>
        </w:tc>
        <w:tc>
          <w:tcPr>
            <w:tcW w:w="236" w:type="dxa"/>
            <w:tcBorders>
              <w:left w:val="single" w:sz="4" w:space="0" w:color="auto"/>
              <w:bottom w:val="single" w:sz="4" w:space="0" w:color="auto"/>
            </w:tcBorders>
          </w:tcPr>
          <w:p w:rsidR="006B67F6" w:rsidRPr="00ED0AE0" w:rsidRDefault="006B67F6" w:rsidP="00CB3BD3">
            <w:pPr>
              <w:jc w:val="center"/>
              <w:rPr>
                <w:rFonts w:ascii="Calibri" w:hAnsi="Calibri"/>
                <w:i/>
                <w:color w:val="000000"/>
                <w:sz w:val="18"/>
              </w:rPr>
            </w:pPr>
          </w:p>
        </w:tc>
        <w:tc>
          <w:tcPr>
            <w:tcW w:w="1361" w:type="dxa"/>
            <w:tcBorders>
              <w:bottom w:val="single" w:sz="4" w:space="0" w:color="auto"/>
            </w:tcBorders>
            <w:vAlign w:val="center"/>
          </w:tcPr>
          <w:p w:rsidR="006B67F6" w:rsidRDefault="006B67F6">
            <w:pPr>
              <w:jc w:val="center"/>
              <w:rPr>
                <w:rFonts w:ascii="Calibri" w:hAnsi="Calibri"/>
                <w:i/>
                <w:iCs/>
                <w:color w:val="000000"/>
                <w:sz w:val="18"/>
                <w:szCs w:val="18"/>
              </w:rPr>
            </w:pPr>
            <w:r>
              <w:rPr>
                <w:rFonts w:ascii="Calibri" w:hAnsi="Calibri"/>
                <w:i/>
                <w:iCs/>
                <w:color w:val="000000"/>
                <w:sz w:val="18"/>
                <w:szCs w:val="18"/>
              </w:rPr>
              <w:t>33,323</w:t>
            </w:r>
          </w:p>
        </w:tc>
        <w:tc>
          <w:tcPr>
            <w:tcW w:w="236" w:type="dxa"/>
            <w:tcBorders>
              <w:bottom w:val="single" w:sz="4" w:space="0" w:color="auto"/>
            </w:tcBorders>
            <w:vAlign w:val="center"/>
          </w:tcPr>
          <w:p w:rsidR="006B67F6" w:rsidRDefault="006B67F6">
            <w:pPr>
              <w:jc w:val="center"/>
              <w:rPr>
                <w:rFonts w:ascii="Calibri" w:hAnsi="Calibri"/>
                <w:i/>
                <w:iCs/>
                <w:color w:val="000000"/>
                <w:sz w:val="18"/>
                <w:szCs w:val="18"/>
              </w:rPr>
            </w:pPr>
            <w:r>
              <w:rPr>
                <w:rFonts w:ascii="Calibri" w:hAnsi="Calibri"/>
                <w:i/>
                <w:iCs/>
                <w:color w:val="000000"/>
                <w:sz w:val="18"/>
                <w:szCs w:val="18"/>
              </w:rPr>
              <w:t> </w:t>
            </w:r>
          </w:p>
        </w:tc>
        <w:tc>
          <w:tcPr>
            <w:tcW w:w="1361" w:type="dxa"/>
            <w:tcBorders>
              <w:bottom w:val="single" w:sz="4" w:space="0" w:color="auto"/>
            </w:tcBorders>
            <w:vAlign w:val="center"/>
          </w:tcPr>
          <w:p w:rsidR="006B67F6" w:rsidRDefault="006B67F6">
            <w:pPr>
              <w:jc w:val="center"/>
              <w:rPr>
                <w:rFonts w:ascii="Calibri" w:hAnsi="Calibri"/>
                <w:i/>
                <w:iCs/>
                <w:color w:val="000000"/>
                <w:sz w:val="18"/>
                <w:szCs w:val="18"/>
              </w:rPr>
            </w:pPr>
            <w:r>
              <w:rPr>
                <w:rFonts w:ascii="Calibri" w:hAnsi="Calibri"/>
                <w:i/>
                <w:iCs/>
                <w:color w:val="000000"/>
                <w:sz w:val="18"/>
                <w:szCs w:val="18"/>
              </w:rPr>
              <w:t>37,427</w:t>
            </w:r>
          </w:p>
        </w:tc>
        <w:tc>
          <w:tcPr>
            <w:tcW w:w="236" w:type="dxa"/>
            <w:tcBorders>
              <w:bottom w:val="single" w:sz="4" w:space="0" w:color="auto"/>
            </w:tcBorders>
            <w:vAlign w:val="center"/>
          </w:tcPr>
          <w:p w:rsidR="006B67F6" w:rsidRDefault="006B67F6">
            <w:pPr>
              <w:jc w:val="center"/>
              <w:rPr>
                <w:rFonts w:ascii="Calibri" w:hAnsi="Calibri"/>
                <w:i/>
                <w:iCs/>
                <w:color w:val="000000"/>
                <w:sz w:val="18"/>
                <w:szCs w:val="18"/>
              </w:rPr>
            </w:pPr>
            <w:r>
              <w:rPr>
                <w:rFonts w:ascii="Calibri" w:hAnsi="Calibri"/>
                <w:i/>
                <w:iCs/>
                <w:color w:val="000000"/>
                <w:sz w:val="18"/>
                <w:szCs w:val="18"/>
              </w:rPr>
              <w:t> </w:t>
            </w:r>
          </w:p>
        </w:tc>
        <w:tc>
          <w:tcPr>
            <w:tcW w:w="1361" w:type="dxa"/>
            <w:tcBorders>
              <w:bottom w:val="single" w:sz="4" w:space="0" w:color="auto"/>
            </w:tcBorders>
            <w:vAlign w:val="center"/>
          </w:tcPr>
          <w:p w:rsidR="006B67F6" w:rsidRDefault="006B67F6">
            <w:pPr>
              <w:jc w:val="center"/>
              <w:rPr>
                <w:rFonts w:ascii="Calibri" w:hAnsi="Calibri"/>
                <w:i/>
                <w:iCs/>
                <w:color w:val="000000"/>
                <w:sz w:val="18"/>
                <w:szCs w:val="18"/>
              </w:rPr>
            </w:pPr>
            <w:r>
              <w:rPr>
                <w:rFonts w:ascii="Calibri" w:hAnsi="Calibri"/>
                <w:i/>
                <w:iCs/>
                <w:color w:val="000000"/>
                <w:sz w:val="18"/>
                <w:szCs w:val="18"/>
              </w:rPr>
              <w:t>36,464</w:t>
            </w:r>
          </w:p>
        </w:tc>
        <w:tc>
          <w:tcPr>
            <w:tcW w:w="236" w:type="dxa"/>
            <w:tcBorders>
              <w:bottom w:val="single" w:sz="4" w:space="0" w:color="auto"/>
            </w:tcBorders>
            <w:vAlign w:val="center"/>
          </w:tcPr>
          <w:p w:rsidR="006B67F6" w:rsidRDefault="006B67F6">
            <w:pPr>
              <w:jc w:val="center"/>
              <w:rPr>
                <w:rFonts w:ascii="Calibri" w:hAnsi="Calibri"/>
                <w:i/>
                <w:iCs/>
                <w:color w:val="000000"/>
                <w:sz w:val="18"/>
                <w:szCs w:val="18"/>
              </w:rPr>
            </w:pPr>
            <w:r>
              <w:rPr>
                <w:rFonts w:ascii="Calibri" w:hAnsi="Calibri"/>
                <w:i/>
                <w:iCs/>
                <w:color w:val="000000"/>
                <w:sz w:val="18"/>
                <w:szCs w:val="18"/>
              </w:rPr>
              <w:t> </w:t>
            </w:r>
          </w:p>
        </w:tc>
        <w:tc>
          <w:tcPr>
            <w:tcW w:w="1365" w:type="dxa"/>
            <w:tcBorders>
              <w:bottom w:val="single" w:sz="4" w:space="0" w:color="auto"/>
            </w:tcBorders>
            <w:vAlign w:val="center"/>
          </w:tcPr>
          <w:p w:rsidR="006B67F6" w:rsidRDefault="006B67F6">
            <w:pPr>
              <w:jc w:val="center"/>
              <w:rPr>
                <w:rFonts w:ascii="Calibri" w:hAnsi="Calibri"/>
                <w:i/>
                <w:iCs/>
                <w:color w:val="000000"/>
                <w:sz w:val="18"/>
                <w:szCs w:val="18"/>
              </w:rPr>
            </w:pPr>
            <w:r>
              <w:rPr>
                <w:rFonts w:ascii="Calibri" w:hAnsi="Calibri"/>
                <w:i/>
                <w:iCs/>
                <w:color w:val="000000"/>
                <w:sz w:val="18"/>
                <w:szCs w:val="18"/>
              </w:rPr>
              <w:t>42,720</w:t>
            </w:r>
          </w:p>
        </w:tc>
      </w:tr>
      <w:tr w:rsidR="00A10954" w:rsidRPr="00CE5797" w:rsidTr="00CB3BD3">
        <w:trPr>
          <w:trHeight w:val="397"/>
          <w:jc w:val="center"/>
        </w:trPr>
        <w:tc>
          <w:tcPr>
            <w:tcW w:w="1361" w:type="dxa"/>
            <w:tcBorders>
              <w:top w:val="single" w:sz="4" w:space="0" w:color="auto"/>
              <w:bottom w:val="single" w:sz="4" w:space="0" w:color="auto"/>
            </w:tcBorders>
            <w:vAlign w:val="center"/>
          </w:tcPr>
          <w:p w:rsidR="00A10954" w:rsidRPr="00CE5797" w:rsidRDefault="00A10954" w:rsidP="00CB3BD3">
            <w:pPr>
              <w:jc w:val="center"/>
              <w:rPr>
                <w:rFonts w:ascii="Calibri" w:eastAsia="Calibri" w:hAnsi="Calibri" w:cs="Times New Roman"/>
                <w:sz w:val="18"/>
              </w:rPr>
            </w:pPr>
          </w:p>
        </w:tc>
        <w:tc>
          <w:tcPr>
            <w:tcW w:w="236" w:type="dxa"/>
            <w:tcBorders>
              <w:top w:val="single" w:sz="4" w:space="0" w:color="auto"/>
              <w:bottom w:val="single" w:sz="4" w:space="0" w:color="auto"/>
            </w:tcBorders>
            <w:vAlign w:val="center"/>
          </w:tcPr>
          <w:p w:rsidR="00A10954" w:rsidRPr="00CE5797" w:rsidRDefault="00A10954" w:rsidP="00CB3BD3">
            <w:pPr>
              <w:jc w:val="center"/>
              <w:rPr>
                <w:sz w:val="18"/>
                <w:szCs w:val="20"/>
              </w:rPr>
            </w:pPr>
          </w:p>
        </w:tc>
        <w:tc>
          <w:tcPr>
            <w:tcW w:w="6152" w:type="dxa"/>
            <w:gridSpan w:val="7"/>
            <w:tcBorders>
              <w:top w:val="single" w:sz="4" w:space="0" w:color="auto"/>
              <w:bottom w:val="single" w:sz="4" w:space="0" w:color="auto"/>
            </w:tcBorders>
            <w:vAlign w:val="center"/>
          </w:tcPr>
          <w:p w:rsidR="00A10954" w:rsidRPr="00CE5797" w:rsidRDefault="00A10954" w:rsidP="00E52CE0">
            <w:pPr>
              <w:jc w:val="center"/>
              <w:rPr>
                <w:rFonts w:ascii="Calibri" w:hAnsi="Calibri"/>
                <w:color w:val="000000"/>
                <w:sz w:val="18"/>
              </w:rPr>
            </w:pPr>
            <w:r w:rsidRPr="00CE5797">
              <w:rPr>
                <w:sz w:val="18"/>
                <w:szCs w:val="20"/>
              </w:rPr>
              <w:t xml:space="preserve">Panel C: </w:t>
            </w:r>
            <w:r w:rsidR="00E52CE0">
              <w:rPr>
                <w:sz w:val="18"/>
                <w:szCs w:val="20"/>
              </w:rPr>
              <w:t>High Risk</w:t>
            </w:r>
            <w:r w:rsidRPr="00CE5797">
              <w:rPr>
                <w:sz w:val="18"/>
                <w:szCs w:val="20"/>
              </w:rPr>
              <w:t xml:space="preserve"> Countries (Italy, Ireland, Spain and Portugal)</w:t>
            </w:r>
          </w:p>
        </w:tc>
        <w:tc>
          <w:tcPr>
            <w:tcW w:w="236" w:type="dxa"/>
            <w:tcBorders>
              <w:top w:val="single" w:sz="4" w:space="0" w:color="auto"/>
              <w:bottom w:val="single" w:sz="4" w:space="0" w:color="auto"/>
            </w:tcBorders>
            <w:vAlign w:val="center"/>
          </w:tcPr>
          <w:p w:rsidR="00A10954" w:rsidRPr="00CE5797" w:rsidRDefault="00A10954" w:rsidP="00CB3BD3">
            <w:pPr>
              <w:jc w:val="center"/>
              <w:rPr>
                <w:rFonts w:ascii="Calibri" w:hAnsi="Calibri"/>
                <w:color w:val="000000"/>
                <w:sz w:val="18"/>
              </w:rPr>
            </w:pPr>
          </w:p>
        </w:tc>
        <w:tc>
          <w:tcPr>
            <w:tcW w:w="236" w:type="dxa"/>
            <w:tcBorders>
              <w:top w:val="single" w:sz="4" w:space="0" w:color="auto"/>
              <w:bottom w:val="single" w:sz="4" w:space="0" w:color="auto"/>
            </w:tcBorders>
            <w:vAlign w:val="center"/>
          </w:tcPr>
          <w:p w:rsidR="00A10954" w:rsidRPr="00CE5797" w:rsidRDefault="00A10954" w:rsidP="00CB3BD3">
            <w:pPr>
              <w:jc w:val="center"/>
              <w:rPr>
                <w:rFonts w:ascii="Calibri" w:hAnsi="Calibri"/>
                <w:color w:val="000000"/>
                <w:sz w:val="18"/>
              </w:rPr>
            </w:pPr>
          </w:p>
        </w:tc>
        <w:tc>
          <w:tcPr>
            <w:tcW w:w="6156" w:type="dxa"/>
            <w:gridSpan w:val="7"/>
            <w:tcBorders>
              <w:top w:val="single" w:sz="4" w:space="0" w:color="auto"/>
              <w:bottom w:val="single" w:sz="4" w:space="0" w:color="auto"/>
            </w:tcBorders>
            <w:vAlign w:val="center"/>
          </w:tcPr>
          <w:p w:rsidR="00A10954" w:rsidRPr="00CE5797" w:rsidRDefault="00A10954" w:rsidP="00CB3BD3">
            <w:pPr>
              <w:jc w:val="center"/>
              <w:rPr>
                <w:rFonts w:ascii="Calibri" w:hAnsi="Calibri"/>
                <w:color w:val="000000"/>
                <w:sz w:val="18"/>
              </w:rPr>
            </w:pPr>
            <w:r w:rsidRPr="00CE5797">
              <w:rPr>
                <w:sz w:val="18"/>
                <w:szCs w:val="20"/>
              </w:rPr>
              <w:t>Panel D: Greece</w:t>
            </w:r>
          </w:p>
        </w:tc>
      </w:tr>
      <w:tr w:rsidR="00A10954" w:rsidRPr="00CE5797" w:rsidTr="00CB3BD3">
        <w:trPr>
          <w:trHeight w:val="254"/>
          <w:jc w:val="center"/>
        </w:trPr>
        <w:tc>
          <w:tcPr>
            <w:tcW w:w="1361" w:type="dxa"/>
            <w:tcBorders>
              <w:top w:val="single" w:sz="4" w:space="0" w:color="auto"/>
            </w:tcBorders>
            <w:vAlign w:val="center"/>
          </w:tcPr>
          <w:p w:rsidR="00A10954" w:rsidRPr="00CE5797" w:rsidRDefault="00A10954" w:rsidP="00CB3BD3">
            <w:pPr>
              <w:jc w:val="center"/>
              <w:rPr>
                <w:sz w:val="18"/>
                <w:szCs w:val="20"/>
              </w:rPr>
            </w:pPr>
            <w:r w:rsidRPr="00CE5797">
              <w:rPr>
                <w:sz w:val="18"/>
                <w:szCs w:val="20"/>
              </w:rPr>
              <w:t>Coefficient</w:t>
            </w:r>
          </w:p>
        </w:tc>
        <w:tc>
          <w:tcPr>
            <w:tcW w:w="236" w:type="dxa"/>
            <w:tcBorders>
              <w:top w:val="single" w:sz="4" w:space="0" w:color="auto"/>
            </w:tcBorders>
            <w:vAlign w:val="center"/>
          </w:tcPr>
          <w:p w:rsidR="00A10954" w:rsidRPr="00CE5797" w:rsidRDefault="00A10954" w:rsidP="00CB3BD3">
            <w:pPr>
              <w:jc w:val="center"/>
              <w:rPr>
                <w:sz w:val="18"/>
                <w:szCs w:val="20"/>
              </w:rPr>
            </w:pPr>
          </w:p>
        </w:tc>
        <w:tc>
          <w:tcPr>
            <w:tcW w:w="1361" w:type="dxa"/>
            <w:tcBorders>
              <w:top w:val="single" w:sz="4" w:space="0" w:color="auto"/>
            </w:tcBorders>
            <w:vAlign w:val="center"/>
          </w:tcPr>
          <w:p w:rsidR="00A10954" w:rsidRPr="00CE5797" w:rsidRDefault="00A10954" w:rsidP="00CB3BD3">
            <w:pPr>
              <w:jc w:val="center"/>
              <w:rPr>
                <w:sz w:val="18"/>
                <w:szCs w:val="20"/>
              </w:rPr>
            </w:pPr>
            <w:r w:rsidRPr="00CE5797">
              <w:rPr>
                <w:sz w:val="18"/>
                <w:szCs w:val="20"/>
              </w:rPr>
              <w:t>Pre-crisis period</w:t>
            </w:r>
          </w:p>
        </w:tc>
        <w:tc>
          <w:tcPr>
            <w:tcW w:w="236" w:type="dxa"/>
            <w:tcBorders>
              <w:top w:val="single" w:sz="4" w:space="0" w:color="auto"/>
            </w:tcBorders>
            <w:vAlign w:val="center"/>
          </w:tcPr>
          <w:p w:rsidR="00A10954" w:rsidRPr="00CE5797" w:rsidRDefault="00A10954" w:rsidP="00CB3BD3">
            <w:pPr>
              <w:jc w:val="center"/>
              <w:rPr>
                <w:sz w:val="18"/>
                <w:szCs w:val="20"/>
              </w:rPr>
            </w:pPr>
          </w:p>
        </w:tc>
        <w:tc>
          <w:tcPr>
            <w:tcW w:w="1361" w:type="dxa"/>
            <w:tcBorders>
              <w:top w:val="single" w:sz="4" w:space="0" w:color="auto"/>
            </w:tcBorders>
            <w:vAlign w:val="center"/>
          </w:tcPr>
          <w:p w:rsidR="00A10954" w:rsidRPr="00CE5797" w:rsidRDefault="00A10954" w:rsidP="00CB3BD3">
            <w:pPr>
              <w:jc w:val="center"/>
              <w:rPr>
                <w:sz w:val="18"/>
                <w:szCs w:val="20"/>
              </w:rPr>
            </w:pPr>
            <w:r w:rsidRPr="00CE5797">
              <w:rPr>
                <w:sz w:val="18"/>
                <w:szCs w:val="20"/>
              </w:rPr>
              <w:t>Subprime crisis period</w:t>
            </w:r>
          </w:p>
        </w:tc>
        <w:tc>
          <w:tcPr>
            <w:tcW w:w="236" w:type="dxa"/>
            <w:tcBorders>
              <w:top w:val="single" w:sz="4" w:space="0" w:color="auto"/>
            </w:tcBorders>
            <w:vAlign w:val="center"/>
          </w:tcPr>
          <w:p w:rsidR="00A10954" w:rsidRPr="00CE5797" w:rsidRDefault="00A10954" w:rsidP="00CB3BD3">
            <w:pPr>
              <w:jc w:val="center"/>
              <w:rPr>
                <w:sz w:val="18"/>
                <w:szCs w:val="20"/>
              </w:rPr>
            </w:pPr>
          </w:p>
        </w:tc>
        <w:tc>
          <w:tcPr>
            <w:tcW w:w="1361" w:type="dxa"/>
            <w:tcBorders>
              <w:top w:val="single" w:sz="4" w:space="0" w:color="auto"/>
            </w:tcBorders>
            <w:vAlign w:val="center"/>
          </w:tcPr>
          <w:p w:rsidR="00A10954" w:rsidRPr="00CE5797" w:rsidRDefault="00A10954" w:rsidP="00CB3BD3">
            <w:pPr>
              <w:jc w:val="center"/>
              <w:rPr>
                <w:sz w:val="18"/>
                <w:szCs w:val="20"/>
              </w:rPr>
            </w:pPr>
            <w:r w:rsidRPr="00CE5797">
              <w:rPr>
                <w:sz w:val="18"/>
                <w:szCs w:val="20"/>
              </w:rPr>
              <w:t>Sovereign crisis period I</w:t>
            </w:r>
          </w:p>
        </w:tc>
        <w:tc>
          <w:tcPr>
            <w:tcW w:w="236" w:type="dxa"/>
            <w:tcBorders>
              <w:top w:val="single" w:sz="4" w:space="0" w:color="auto"/>
            </w:tcBorders>
            <w:vAlign w:val="center"/>
          </w:tcPr>
          <w:p w:rsidR="00A10954" w:rsidRPr="00CE5797" w:rsidRDefault="00A10954" w:rsidP="00CB3BD3">
            <w:pPr>
              <w:jc w:val="center"/>
              <w:rPr>
                <w:sz w:val="18"/>
                <w:szCs w:val="20"/>
              </w:rPr>
            </w:pPr>
          </w:p>
        </w:tc>
        <w:tc>
          <w:tcPr>
            <w:tcW w:w="1361" w:type="dxa"/>
            <w:tcBorders>
              <w:top w:val="single" w:sz="4" w:space="0" w:color="auto"/>
            </w:tcBorders>
            <w:vAlign w:val="center"/>
          </w:tcPr>
          <w:p w:rsidR="00A10954" w:rsidRPr="00CE5797" w:rsidRDefault="00A10954" w:rsidP="00CB3BD3">
            <w:pPr>
              <w:jc w:val="center"/>
              <w:rPr>
                <w:sz w:val="18"/>
                <w:szCs w:val="20"/>
              </w:rPr>
            </w:pPr>
            <w:r w:rsidRPr="00CE5797">
              <w:rPr>
                <w:sz w:val="18"/>
                <w:szCs w:val="20"/>
              </w:rPr>
              <w:t>Sovereign crisis period II</w:t>
            </w:r>
          </w:p>
        </w:tc>
        <w:tc>
          <w:tcPr>
            <w:tcW w:w="236" w:type="dxa"/>
            <w:tcBorders>
              <w:top w:val="single" w:sz="4" w:space="0" w:color="auto"/>
              <w:right w:val="single" w:sz="4" w:space="0" w:color="auto"/>
            </w:tcBorders>
          </w:tcPr>
          <w:p w:rsidR="00A10954" w:rsidRPr="00CE5797" w:rsidRDefault="00A10954" w:rsidP="00CB3BD3">
            <w:pPr>
              <w:jc w:val="center"/>
              <w:rPr>
                <w:sz w:val="18"/>
                <w:szCs w:val="20"/>
              </w:rPr>
            </w:pPr>
          </w:p>
        </w:tc>
        <w:tc>
          <w:tcPr>
            <w:tcW w:w="236" w:type="dxa"/>
            <w:tcBorders>
              <w:top w:val="single" w:sz="4" w:space="0" w:color="auto"/>
              <w:left w:val="single" w:sz="4" w:space="0" w:color="auto"/>
            </w:tcBorders>
          </w:tcPr>
          <w:p w:rsidR="00A10954" w:rsidRPr="00CE5797" w:rsidRDefault="00A10954" w:rsidP="00CB3BD3">
            <w:pPr>
              <w:jc w:val="center"/>
              <w:rPr>
                <w:sz w:val="18"/>
                <w:szCs w:val="20"/>
              </w:rPr>
            </w:pPr>
          </w:p>
        </w:tc>
        <w:tc>
          <w:tcPr>
            <w:tcW w:w="1361" w:type="dxa"/>
            <w:tcBorders>
              <w:top w:val="single" w:sz="4" w:space="0" w:color="auto"/>
            </w:tcBorders>
            <w:vAlign w:val="center"/>
          </w:tcPr>
          <w:p w:rsidR="00A10954" w:rsidRPr="00CE5797" w:rsidRDefault="00A10954" w:rsidP="00CB3BD3">
            <w:pPr>
              <w:jc w:val="center"/>
              <w:rPr>
                <w:sz w:val="18"/>
                <w:szCs w:val="20"/>
              </w:rPr>
            </w:pPr>
            <w:r w:rsidRPr="00CE5797">
              <w:rPr>
                <w:sz w:val="18"/>
                <w:szCs w:val="20"/>
              </w:rPr>
              <w:t>Pre-crisis period</w:t>
            </w:r>
          </w:p>
        </w:tc>
        <w:tc>
          <w:tcPr>
            <w:tcW w:w="236" w:type="dxa"/>
            <w:tcBorders>
              <w:top w:val="single" w:sz="4" w:space="0" w:color="auto"/>
            </w:tcBorders>
            <w:vAlign w:val="center"/>
          </w:tcPr>
          <w:p w:rsidR="00A10954" w:rsidRPr="00CE5797" w:rsidRDefault="00A10954" w:rsidP="00CB3BD3">
            <w:pPr>
              <w:jc w:val="center"/>
              <w:rPr>
                <w:sz w:val="18"/>
                <w:szCs w:val="20"/>
              </w:rPr>
            </w:pPr>
          </w:p>
        </w:tc>
        <w:tc>
          <w:tcPr>
            <w:tcW w:w="1361" w:type="dxa"/>
            <w:tcBorders>
              <w:top w:val="single" w:sz="4" w:space="0" w:color="auto"/>
            </w:tcBorders>
            <w:vAlign w:val="center"/>
          </w:tcPr>
          <w:p w:rsidR="00A10954" w:rsidRPr="00CE5797" w:rsidRDefault="00A10954" w:rsidP="00CB3BD3">
            <w:pPr>
              <w:jc w:val="center"/>
              <w:rPr>
                <w:sz w:val="18"/>
                <w:szCs w:val="20"/>
              </w:rPr>
            </w:pPr>
            <w:r w:rsidRPr="00CE5797">
              <w:rPr>
                <w:sz w:val="18"/>
                <w:szCs w:val="20"/>
              </w:rPr>
              <w:t>Subprime crisis period</w:t>
            </w:r>
          </w:p>
        </w:tc>
        <w:tc>
          <w:tcPr>
            <w:tcW w:w="236" w:type="dxa"/>
            <w:tcBorders>
              <w:top w:val="single" w:sz="4" w:space="0" w:color="auto"/>
            </w:tcBorders>
            <w:vAlign w:val="center"/>
          </w:tcPr>
          <w:p w:rsidR="00A10954" w:rsidRPr="00CE5797" w:rsidRDefault="00A10954" w:rsidP="00CB3BD3">
            <w:pPr>
              <w:jc w:val="center"/>
              <w:rPr>
                <w:sz w:val="18"/>
                <w:szCs w:val="20"/>
              </w:rPr>
            </w:pPr>
          </w:p>
        </w:tc>
        <w:tc>
          <w:tcPr>
            <w:tcW w:w="1361" w:type="dxa"/>
            <w:tcBorders>
              <w:top w:val="single" w:sz="4" w:space="0" w:color="auto"/>
            </w:tcBorders>
            <w:vAlign w:val="center"/>
          </w:tcPr>
          <w:p w:rsidR="00A10954" w:rsidRPr="00CE5797" w:rsidRDefault="00A10954" w:rsidP="00CB3BD3">
            <w:pPr>
              <w:jc w:val="center"/>
              <w:rPr>
                <w:sz w:val="18"/>
                <w:szCs w:val="20"/>
              </w:rPr>
            </w:pPr>
            <w:r w:rsidRPr="00CE5797">
              <w:rPr>
                <w:sz w:val="18"/>
                <w:szCs w:val="20"/>
              </w:rPr>
              <w:t>Sovereign crisis period I</w:t>
            </w:r>
          </w:p>
        </w:tc>
        <w:tc>
          <w:tcPr>
            <w:tcW w:w="236" w:type="dxa"/>
            <w:tcBorders>
              <w:top w:val="single" w:sz="4" w:space="0" w:color="auto"/>
            </w:tcBorders>
            <w:vAlign w:val="center"/>
          </w:tcPr>
          <w:p w:rsidR="00A10954" w:rsidRPr="00CE5797" w:rsidRDefault="00A10954" w:rsidP="00CB3BD3">
            <w:pPr>
              <w:jc w:val="center"/>
              <w:rPr>
                <w:sz w:val="18"/>
                <w:szCs w:val="20"/>
              </w:rPr>
            </w:pPr>
          </w:p>
        </w:tc>
        <w:tc>
          <w:tcPr>
            <w:tcW w:w="1365" w:type="dxa"/>
            <w:tcBorders>
              <w:top w:val="single" w:sz="4" w:space="0" w:color="auto"/>
            </w:tcBorders>
            <w:vAlign w:val="center"/>
          </w:tcPr>
          <w:p w:rsidR="00A10954" w:rsidRPr="00CE5797" w:rsidRDefault="00A10954" w:rsidP="00CB3BD3">
            <w:pPr>
              <w:jc w:val="center"/>
              <w:rPr>
                <w:sz w:val="18"/>
                <w:szCs w:val="20"/>
              </w:rPr>
            </w:pPr>
            <w:r w:rsidRPr="00CE5797">
              <w:rPr>
                <w:sz w:val="18"/>
                <w:szCs w:val="20"/>
              </w:rPr>
              <w:t>Sovereign crisis period II</w:t>
            </w:r>
          </w:p>
        </w:tc>
      </w:tr>
      <w:tr w:rsidR="00B74CE9" w:rsidRPr="00CE5797" w:rsidTr="007404B1">
        <w:trPr>
          <w:trHeight w:val="254"/>
          <w:jc w:val="center"/>
        </w:trPr>
        <w:tc>
          <w:tcPr>
            <w:tcW w:w="1361" w:type="dxa"/>
          </w:tcPr>
          <w:p w:rsidR="00B74CE9" w:rsidRPr="00CE5797" w:rsidRDefault="00CE06E1" w:rsidP="00CB3BD3">
            <w:pPr>
              <w:jc w:val="center"/>
              <w:rPr>
                <w:sz w:val="18"/>
                <w:szCs w:val="20"/>
              </w:rPr>
            </w:pPr>
            <m:oMathPara>
              <m:oMath>
                <m:sSub>
                  <m:sSubPr>
                    <m:ctrlPr>
                      <w:rPr>
                        <w:rFonts w:ascii="Cambria Math" w:hAnsi="Cambria Math"/>
                        <w:i/>
                        <w:sz w:val="18"/>
                      </w:rPr>
                    </m:ctrlPr>
                  </m:sSubPr>
                  <m:e>
                    <m:r>
                      <w:rPr>
                        <w:rFonts w:ascii="Cambria Math" w:hAnsi="Cambria Math"/>
                        <w:sz w:val="18"/>
                      </w:rPr>
                      <m:t>β</m:t>
                    </m:r>
                  </m:e>
                  <m:sub>
                    <m:r>
                      <w:rPr>
                        <w:rFonts w:ascii="Cambria Math" w:hAnsi="Cambria Math"/>
                        <w:sz w:val="18"/>
                      </w:rPr>
                      <m:t>EQT</m:t>
                    </m:r>
                  </m:sub>
                </m:sSub>
              </m:oMath>
            </m:oMathPara>
          </w:p>
        </w:tc>
        <w:tc>
          <w:tcPr>
            <w:tcW w:w="236" w:type="dxa"/>
          </w:tcPr>
          <w:p w:rsidR="00B74CE9" w:rsidRPr="00CE5797" w:rsidRDefault="00B74CE9" w:rsidP="00CB3BD3">
            <w:pPr>
              <w:jc w:val="center"/>
              <w:rPr>
                <w:sz w:val="18"/>
                <w:szCs w:val="20"/>
              </w:rPr>
            </w:pPr>
          </w:p>
        </w:tc>
        <w:tc>
          <w:tcPr>
            <w:tcW w:w="1361" w:type="dxa"/>
            <w:vAlign w:val="center"/>
          </w:tcPr>
          <w:p w:rsidR="00B74CE9" w:rsidRDefault="00B74CE9">
            <w:pPr>
              <w:rPr>
                <w:rFonts w:ascii="Calibri" w:hAnsi="Calibri"/>
                <w:b/>
                <w:bCs/>
                <w:color w:val="FF0000"/>
              </w:rPr>
            </w:pPr>
            <w:r>
              <w:rPr>
                <w:rFonts w:ascii="Calibri" w:hAnsi="Calibri"/>
                <w:b/>
                <w:bCs/>
                <w:color w:val="FF0000"/>
              </w:rPr>
              <w:t>-0.024 ***</w:t>
            </w:r>
          </w:p>
        </w:tc>
        <w:tc>
          <w:tcPr>
            <w:tcW w:w="236" w:type="dxa"/>
            <w:vAlign w:val="center"/>
          </w:tcPr>
          <w:p w:rsidR="00B74CE9" w:rsidRDefault="00B74CE9">
            <w:pPr>
              <w:rPr>
                <w:rFonts w:ascii="Calibri" w:hAnsi="Calibri"/>
                <w:b/>
                <w:bCs/>
                <w:color w:val="FF0000"/>
              </w:rPr>
            </w:pPr>
          </w:p>
        </w:tc>
        <w:tc>
          <w:tcPr>
            <w:tcW w:w="1361" w:type="dxa"/>
            <w:vAlign w:val="center"/>
          </w:tcPr>
          <w:p w:rsidR="00B74CE9" w:rsidRDefault="00B74CE9">
            <w:pPr>
              <w:rPr>
                <w:rFonts w:ascii="Calibri" w:hAnsi="Calibri"/>
                <w:b/>
                <w:bCs/>
                <w:color w:val="FF0000"/>
              </w:rPr>
            </w:pPr>
            <w:r>
              <w:rPr>
                <w:rFonts w:ascii="Calibri" w:hAnsi="Calibri"/>
                <w:b/>
                <w:bCs/>
                <w:color w:val="FF0000"/>
              </w:rPr>
              <w:t>-0.045 ***</w:t>
            </w:r>
          </w:p>
        </w:tc>
        <w:tc>
          <w:tcPr>
            <w:tcW w:w="236" w:type="dxa"/>
            <w:vAlign w:val="center"/>
          </w:tcPr>
          <w:p w:rsidR="00B74CE9" w:rsidRDefault="00B74CE9">
            <w:pPr>
              <w:rPr>
                <w:rFonts w:ascii="Calibri" w:hAnsi="Calibri"/>
                <w:color w:val="000000"/>
              </w:rPr>
            </w:pPr>
          </w:p>
        </w:tc>
        <w:tc>
          <w:tcPr>
            <w:tcW w:w="1361" w:type="dxa"/>
            <w:vAlign w:val="center"/>
          </w:tcPr>
          <w:p w:rsidR="00B74CE9" w:rsidRDefault="00B74CE9">
            <w:pPr>
              <w:rPr>
                <w:rFonts w:ascii="Calibri" w:hAnsi="Calibri"/>
                <w:color w:val="000000"/>
              </w:rPr>
            </w:pPr>
            <w:r w:rsidRPr="006B67F6">
              <w:rPr>
                <w:rFonts w:ascii="Calibri" w:hAnsi="Calibri"/>
                <w:b/>
                <w:bCs/>
                <w:color w:val="FF0000"/>
              </w:rPr>
              <w:t>-0.019 *</w:t>
            </w:r>
          </w:p>
        </w:tc>
        <w:tc>
          <w:tcPr>
            <w:tcW w:w="236" w:type="dxa"/>
            <w:vAlign w:val="center"/>
          </w:tcPr>
          <w:p w:rsidR="00B74CE9" w:rsidRDefault="00B74CE9">
            <w:pPr>
              <w:rPr>
                <w:rFonts w:ascii="Calibri" w:hAnsi="Calibri"/>
                <w:color w:val="000000"/>
              </w:rPr>
            </w:pPr>
          </w:p>
        </w:tc>
        <w:tc>
          <w:tcPr>
            <w:tcW w:w="1361" w:type="dxa"/>
            <w:vAlign w:val="center"/>
          </w:tcPr>
          <w:p w:rsidR="00B74CE9" w:rsidRDefault="00B74CE9">
            <w:pPr>
              <w:rPr>
                <w:rFonts w:ascii="Calibri" w:hAnsi="Calibri"/>
                <w:b/>
                <w:bCs/>
                <w:color w:val="548DD4"/>
              </w:rPr>
            </w:pPr>
            <w:r>
              <w:rPr>
                <w:rFonts w:ascii="Calibri" w:hAnsi="Calibri"/>
                <w:b/>
                <w:bCs/>
                <w:color w:val="548DD4"/>
              </w:rPr>
              <w:t>0.050 ***</w:t>
            </w:r>
          </w:p>
        </w:tc>
        <w:tc>
          <w:tcPr>
            <w:tcW w:w="236" w:type="dxa"/>
            <w:tcBorders>
              <w:right w:val="single" w:sz="4" w:space="0" w:color="auto"/>
            </w:tcBorders>
          </w:tcPr>
          <w:p w:rsidR="00B74CE9" w:rsidRPr="006303BE" w:rsidRDefault="00B74CE9" w:rsidP="00CB3BD3">
            <w:pPr>
              <w:rPr>
                <w:rFonts w:ascii="Calibri" w:hAnsi="Calibri"/>
                <w:color w:val="000000"/>
                <w:sz w:val="20"/>
              </w:rPr>
            </w:pPr>
          </w:p>
        </w:tc>
        <w:tc>
          <w:tcPr>
            <w:tcW w:w="236" w:type="dxa"/>
            <w:tcBorders>
              <w:left w:val="single" w:sz="4" w:space="0" w:color="auto"/>
            </w:tcBorders>
          </w:tcPr>
          <w:p w:rsidR="00B74CE9" w:rsidRPr="006303BE" w:rsidRDefault="00B74CE9" w:rsidP="00CB3BD3">
            <w:pPr>
              <w:rPr>
                <w:rFonts w:ascii="Calibri" w:hAnsi="Calibri"/>
                <w:color w:val="000000"/>
                <w:sz w:val="20"/>
              </w:rPr>
            </w:pPr>
          </w:p>
        </w:tc>
        <w:tc>
          <w:tcPr>
            <w:tcW w:w="1361" w:type="dxa"/>
            <w:vAlign w:val="center"/>
          </w:tcPr>
          <w:p w:rsidR="00B74CE9" w:rsidRDefault="00B74CE9">
            <w:pPr>
              <w:rPr>
                <w:rFonts w:ascii="Calibri" w:hAnsi="Calibri"/>
                <w:b/>
                <w:bCs/>
                <w:color w:val="FF0000"/>
              </w:rPr>
            </w:pPr>
            <w:r>
              <w:rPr>
                <w:rFonts w:ascii="Calibri" w:hAnsi="Calibri"/>
                <w:b/>
                <w:bCs/>
                <w:color w:val="FF0000"/>
              </w:rPr>
              <w:t>-0.018 ***</w:t>
            </w:r>
          </w:p>
        </w:tc>
        <w:tc>
          <w:tcPr>
            <w:tcW w:w="236" w:type="dxa"/>
            <w:vAlign w:val="center"/>
          </w:tcPr>
          <w:p w:rsidR="00B74CE9" w:rsidRDefault="00B74CE9">
            <w:pPr>
              <w:rPr>
                <w:rFonts w:ascii="Calibri" w:hAnsi="Calibri"/>
                <w:b/>
                <w:bCs/>
                <w:color w:val="FF0000"/>
              </w:rPr>
            </w:pPr>
          </w:p>
        </w:tc>
        <w:tc>
          <w:tcPr>
            <w:tcW w:w="1361" w:type="dxa"/>
            <w:vAlign w:val="center"/>
          </w:tcPr>
          <w:p w:rsidR="00B74CE9" w:rsidRDefault="00B74CE9">
            <w:pPr>
              <w:rPr>
                <w:rFonts w:ascii="Calibri" w:hAnsi="Calibri"/>
                <w:b/>
                <w:bCs/>
                <w:color w:val="FF0000"/>
              </w:rPr>
            </w:pPr>
            <w:r>
              <w:rPr>
                <w:rFonts w:ascii="Calibri" w:hAnsi="Calibri"/>
                <w:b/>
                <w:bCs/>
                <w:color w:val="FF0000"/>
              </w:rPr>
              <w:t>-0.018 ***</w:t>
            </w:r>
          </w:p>
        </w:tc>
        <w:tc>
          <w:tcPr>
            <w:tcW w:w="236" w:type="dxa"/>
            <w:vAlign w:val="center"/>
          </w:tcPr>
          <w:p w:rsidR="00B74CE9" w:rsidRDefault="00B74CE9">
            <w:pPr>
              <w:rPr>
                <w:rFonts w:ascii="Calibri" w:hAnsi="Calibri"/>
                <w:color w:val="000000"/>
              </w:rPr>
            </w:pPr>
          </w:p>
        </w:tc>
        <w:tc>
          <w:tcPr>
            <w:tcW w:w="1361" w:type="dxa"/>
            <w:vAlign w:val="center"/>
          </w:tcPr>
          <w:p w:rsidR="00B74CE9" w:rsidRDefault="00B74CE9">
            <w:pPr>
              <w:rPr>
                <w:rFonts w:ascii="Calibri" w:hAnsi="Calibri"/>
                <w:b/>
                <w:bCs/>
                <w:color w:val="548DD4"/>
              </w:rPr>
            </w:pPr>
            <w:r>
              <w:rPr>
                <w:rFonts w:ascii="Calibri" w:hAnsi="Calibri"/>
                <w:b/>
                <w:bCs/>
                <w:color w:val="548DD4"/>
              </w:rPr>
              <w:t>0.068 ***</w:t>
            </w:r>
          </w:p>
        </w:tc>
        <w:tc>
          <w:tcPr>
            <w:tcW w:w="236" w:type="dxa"/>
            <w:vAlign w:val="center"/>
          </w:tcPr>
          <w:p w:rsidR="00B74CE9" w:rsidRDefault="00B74CE9">
            <w:pPr>
              <w:rPr>
                <w:rFonts w:ascii="Calibri" w:hAnsi="Calibri"/>
                <w:b/>
                <w:bCs/>
                <w:color w:val="548DD4"/>
              </w:rPr>
            </w:pPr>
          </w:p>
        </w:tc>
        <w:tc>
          <w:tcPr>
            <w:tcW w:w="1365" w:type="dxa"/>
            <w:vAlign w:val="center"/>
          </w:tcPr>
          <w:p w:rsidR="00B74CE9" w:rsidRDefault="00B74CE9">
            <w:pPr>
              <w:rPr>
                <w:rFonts w:ascii="Calibri" w:hAnsi="Calibri"/>
                <w:b/>
                <w:bCs/>
                <w:color w:val="548DD4"/>
              </w:rPr>
            </w:pPr>
            <w:r>
              <w:rPr>
                <w:rFonts w:ascii="Calibri" w:hAnsi="Calibri"/>
                <w:color w:val="000000"/>
              </w:rPr>
              <w:t>NA</w:t>
            </w:r>
          </w:p>
        </w:tc>
      </w:tr>
      <w:tr w:rsidR="00B74CE9" w:rsidRPr="00CE5797" w:rsidTr="007404B1">
        <w:trPr>
          <w:trHeight w:val="254"/>
          <w:jc w:val="center"/>
        </w:trPr>
        <w:tc>
          <w:tcPr>
            <w:tcW w:w="1361" w:type="dxa"/>
          </w:tcPr>
          <w:p w:rsidR="00B74CE9" w:rsidRPr="00CE5797" w:rsidRDefault="00CE06E1" w:rsidP="00CB3BD3">
            <w:pPr>
              <w:jc w:val="center"/>
              <w:rPr>
                <w:sz w:val="18"/>
                <w:szCs w:val="20"/>
              </w:rPr>
            </w:pPr>
            <m:oMathPara>
              <m:oMath>
                <m:sSub>
                  <m:sSubPr>
                    <m:ctrlPr>
                      <w:rPr>
                        <w:rFonts w:ascii="Cambria Math" w:hAnsi="Cambria Math"/>
                        <w:i/>
                        <w:sz w:val="18"/>
                      </w:rPr>
                    </m:ctrlPr>
                  </m:sSubPr>
                  <m:e>
                    <m:r>
                      <w:rPr>
                        <w:rFonts w:ascii="Cambria Math" w:hAnsi="Cambria Math"/>
                        <w:sz w:val="18"/>
                      </w:rPr>
                      <m:t>β</m:t>
                    </m:r>
                  </m:e>
                  <m:sub>
                    <m:r>
                      <w:rPr>
                        <w:rFonts w:ascii="Cambria Math" w:hAnsi="Cambria Math"/>
                        <w:sz w:val="18"/>
                      </w:rPr>
                      <m:t>CDS</m:t>
                    </m:r>
                  </m:sub>
                </m:sSub>
              </m:oMath>
            </m:oMathPara>
          </w:p>
        </w:tc>
        <w:tc>
          <w:tcPr>
            <w:tcW w:w="236" w:type="dxa"/>
          </w:tcPr>
          <w:p w:rsidR="00B74CE9" w:rsidRPr="00CE5797" w:rsidRDefault="00B74CE9" w:rsidP="00CB3BD3">
            <w:pPr>
              <w:jc w:val="center"/>
              <w:rPr>
                <w:sz w:val="18"/>
                <w:szCs w:val="20"/>
              </w:rPr>
            </w:pPr>
          </w:p>
        </w:tc>
        <w:tc>
          <w:tcPr>
            <w:tcW w:w="1361" w:type="dxa"/>
            <w:vAlign w:val="center"/>
          </w:tcPr>
          <w:p w:rsidR="00B74CE9" w:rsidRDefault="00B74CE9">
            <w:pPr>
              <w:rPr>
                <w:rFonts w:ascii="Calibri" w:hAnsi="Calibri"/>
                <w:color w:val="000000"/>
              </w:rPr>
            </w:pPr>
            <w:r>
              <w:rPr>
                <w:rFonts w:ascii="Calibri" w:hAnsi="Calibri"/>
                <w:color w:val="000000"/>
              </w:rPr>
              <w:t>-0.450</w:t>
            </w:r>
          </w:p>
        </w:tc>
        <w:tc>
          <w:tcPr>
            <w:tcW w:w="236" w:type="dxa"/>
            <w:vAlign w:val="center"/>
          </w:tcPr>
          <w:p w:rsidR="00B74CE9" w:rsidRDefault="00B74CE9">
            <w:pPr>
              <w:rPr>
                <w:rFonts w:ascii="Calibri" w:hAnsi="Calibri"/>
                <w:color w:val="000000"/>
              </w:rPr>
            </w:pPr>
          </w:p>
        </w:tc>
        <w:tc>
          <w:tcPr>
            <w:tcW w:w="1361" w:type="dxa"/>
            <w:vAlign w:val="center"/>
          </w:tcPr>
          <w:p w:rsidR="00B74CE9" w:rsidRDefault="00B74CE9">
            <w:pPr>
              <w:rPr>
                <w:rFonts w:ascii="Calibri" w:hAnsi="Calibri"/>
                <w:b/>
                <w:bCs/>
                <w:color w:val="FF0000"/>
              </w:rPr>
            </w:pPr>
            <w:r>
              <w:rPr>
                <w:rFonts w:ascii="Calibri" w:hAnsi="Calibri"/>
                <w:b/>
                <w:bCs/>
                <w:color w:val="FF0000"/>
              </w:rPr>
              <w:t>-0.877 ***</w:t>
            </w:r>
          </w:p>
        </w:tc>
        <w:tc>
          <w:tcPr>
            <w:tcW w:w="236" w:type="dxa"/>
            <w:vAlign w:val="center"/>
          </w:tcPr>
          <w:p w:rsidR="00B74CE9" w:rsidRDefault="00B74CE9">
            <w:pPr>
              <w:rPr>
                <w:rFonts w:ascii="Calibri" w:hAnsi="Calibri"/>
                <w:color w:val="000000"/>
              </w:rPr>
            </w:pPr>
          </w:p>
        </w:tc>
        <w:tc>
          <w:tcPr>
            <w:tcW w:w="1361" w:type="dxa"/>
            <w:vAlign w:val="center"/>
          </w:tcPr>
          <w:p w:rsidR="00B74CE9" w:rsidRDefault="00B74CE9">
            <w:pPr>
              <w:rPr>
                <w:rFonts w:ascii="Calibri" w:hAnsi="Calibri"/>
                <w:b/>
                <w:bCs/>
                <w:color w:val="FF0000"/>
              </w:rPr>
            </w:pPr>
            <w:r>
              <w:rPr>
                <w:rFonts w:ascii="Calibri" w:hAnsi="Calibri"/>
                <w:b/>
                <w:bCs/>
                <w:color w:val="FF0000"/>
              </w:rPr>
              <w:t>-2.217 ***</w:t>
            </w:r>
          </w:p>
        </w:tc>
        <w:tc>
          <w:tcPr>
            <w:tcW w:w="236" w:type="dxa"/>
            <w:vAlign w:val="center"/>
          </w:tcPr>
          <w:p w:rsidR="00B74CE9" w:rsidRDefault="00B74CE9">
            <w:pPr>
              <w:rPr>
                <w:rFonts w:ascii="Calibri" w:hAnsi="Calibri"/>
                <w:b/>
                <w:bCs/>
                <w:color w:val="FF0000"/>
              </w:rPr>
            </w:pPr>
          </w:p>
        </w:tc>
        <w:tc>
          <w:tcPr>
            <w:tcW w:w="1361" w:type="dxa"/>
            <w:vAlign w:val="center"/>
          </w:tcPr>
          <w:p w:rsidR="00B74CE9" w:rsidRDefault="00B74CE9">
            <w:pPr>
              <w:rPr>
                <w:rFonts w:ascii="Calibri" w:hAnsi="Calibri"/>
                <w:b/>
                <w:bCs/>
                <w:color w:val="FF0000"/>
              </w:rPr>
            </w:pPr>
            <w:r>
              <w:rPr>
                <w:rFonts w:ascii="Calibri" w:hAnsi="Calibri"/>
                <w:b/>
                <w:bCs/>
                <w:color w:val="FF0000"/>
              </w:rPr>
              <w:t>-2.630 ***</w:t>
            </w:r>
          </w:p>
        </w:tc>
        <w:tc>
          <w:tcPr>
            <w:tcW w:w="236" w:type="dxa"/>
            <w:tcBorders>
              <w:right w:val="single" w:sz="4" w:space="0" w:color="auto"/>
            </w:tcBorders>
          </w:tcPr>
          <w:p w:rsidR="00B74CE9" w:rsidRPr="006303BE" w:rsidRDefault="00B74CE9" w:rsidP="00CB3BD3">
            <w:pPr>
              <w:rPr>
                <w:rFonts w:ascii="Calibri" w:hAnsi="Calibri"/>
                <w:b/>
                <w:color w:val="FF0000"/>
                <w:sz w:val="20"/>
              </w:rPr>
            </w:pPr>
          </w:p>
        </w:tc>
        <w:tc>
          <w:tcPr>
            <w:tcW w:w="236" w:type="dxa"/>
            <w:tcBorders>
              <w:left w:val="single" w:sz="4" w:space="0" w:color="auto"/>
            </w:tcBorders>
          </w:tcPr>
          <w:p w:rsidR="00B74CE9" w:rsidRPr="006303BE" w:rsidRDefault="00B74CE9" w:rsidP="00CB3BD3">
            <w:pPr>
              <w:rPr>
                <w:rFonts w:ascii="Calibri" w:hAnsi="Calibri"/>
                <w:b/>
                <w:color w:val="FF0000"/>
                <w:sz w:val="20"/>
              </w:rPr>
            </w:pPr>
          </w:p>
        </w:tc>
        <w:tc>
          <w:tcPr>
            <w:tcW w:w="1361" w:type="dxa"/>
            <w:vAlign w:val="center"/>
          </w:tcPr>
          <w:p w:rsidR="00B74CE9" w:rsidRDefault="00B74CE9">
            <w:pPr>
              <w:rPr>
                <w:rFonts w:ascii="Calibri" w:hAnsi="Calibri"/>
                <w:color w:val="000000"/>
              </w:rPr>
            </w:pPr>
            <w:r>
              <w:rPr>
                <w:rFonts w:ascii="Calibri" w:hAnsi="Calibri"/>
                <w:color w:val="000000"/>
              </w:rPr>
              <w:t>0.669</w:t>
            </w:r>
          </w:p>
        </w:tc>
        <w:tc>
          <w:tcPr>
            <w:tcW w:w="236" w:type="dxa"/>
            <w:vAlign w:val="center"/>
          </w:tcPr>
          <w:p w:rsidR="00B74CE9" w:rsidRDefault="00B74CE9">
            <w:pPr>
              <w:rPr>
                <w:rFonts w:ascii="Calibri" w:hAnsi="Calibri"/>
                <w:color w:val="000000"/>
              </w:rPr>
            </w:pPr>
          </w:p>
        </w:tc>
        <w:tc>
          <w:tcPr>
            <w:tcW w:w="1361" w:type="dxa"/>
            <w:vAlign w:val="center"/>
          </w:tcPr>
          <w:p w:rsidR="00B74CE9" w:rsidRDefault="00B74CE9">
            <w:pPr>
              <w:rPr>
                <w:rFonts w:ascii="Calibri" w:hAnsi="Calibri"/>
                <w:b/>
                <w:bCs/>
                <w:color w:val="FF0000"/>
              </w:rPr>
            </w:pPr>
            <w:r>
              <w:rPr>
                <w:rFonts w:ascii="Calibri" w:hAnsi="Calibri"/>
                <w:b/>
                <w:bCs/>
                <w:color w:val="FF0000"/>
              </w:rPr>
              <w:t>-1.985 ***</w:t>
            </w:r>
          </w:p>
        </w:tc>
        <w:tc>
          <w:tcPr>
            <w:tcW w:w="236" w:type="dxa"/>
            <w:vAlign w:val="center"/>
          </w:tcPr>
          <w:p w:rsidR="00B74CE9" w:rsidRDefault="00B74CE9">
            <w:pPr>
              <w:rPr>
                <w:rFonts w:ascii="Calibri" w:hAnsi="Calibri"/>
                <w:b/>
                <w:bCs/>
                <w:color w:val="FF0000"/>
              </w:rPr>
            </w:pPr>
          </w:p>
        </w:tc>
        <w:tc>
          <w:tcPr>
            <w:tcW w:w="1361" w:type="dxa"/>
            <w:vAlign w:val="center"/>
          </w:tcPr>
          <w:p w:rsidR="00B74CE9" w:rsidRDefault="00B74CE9">
            <w:pPr>
              <w:rPr>
                <w:rFonts w:ascii="Calibri" w:hAnsi="Calibri"/>
                <w:b/>
                <w:bCs/>
                <w:color w:val="FF0000"/>
              </w:rPr>
            </w:pPr>
            <w:r>
              <w:rPr>
                <w:rFonts w:ascii="Calibri" w:hAnsi="Calibri"/>
                <w:b/>
                <w:bCs/>
                <w:color w:val="FF0000"/>
              </w:rPr>
              <w:t>-1.758 ***</w:t>
            </w:r>
          </w:p>
        </w:tc>
        <w:tc>
          <w:tcPr>
            <w:tcW w:w="236" w:type="dxa"/>
            <w:vAlign w:val="center"/>
          </w:tcPr>
          <w:p w:rsidR="00B74CE9" w:rsidRDefault="00B74CE9">
            <w:pPr>
              <w:rPr>
                <w:rFonts w:ascii="Calibri" w:hAnsi="Calibri"/>
                <w:color w:val="000000"/>
              </w:rPr>
            </w:pPr>
          </w:p>
        </w:tc>
        <w:tc>
          <w:tcPr>
            <w:tcW w:w="1365" w:type="dxa"/>
            <w:vAlign w:val="center"/>
          </w:tcPr>
          <w:p w:rsidR="00B74CE9" w:rsidRDefault="00B74CE9">
            <w:pPr>
              <w:rPr>
                <w:rFonts w:ascii="Calibri" w:hAnsi="Calibri"/>
                <w:color w:val="000000"/>
              </w:rPr>
            </w:pPr>
            <w:r>
              <w:rPr>
                <w:rFonts w:ascii="Calibri" w:hAnsi="Calibri"/>
                <w:color w:val="000000"/>
              </w:rPr>
              <w:t>NA</w:t>
            </w:r>
          </w:p>
        </w:tc>
      </w:tr>
      <w:tr w:rsidR="00B74CE9" w:rsidRPr="00CE5797" w:rsidTr="007404B1">
        <w:trPr>
          <w:trHeight w:val="254"/>
          <w:jc w:val="center"/>
        </w:trPr>
        <w:tc>
          <w:tcPr>
            <w:tcW w:w="1361" w:type="dxa"/>
          </w:tcPr>
          <w:p w:rsidR="00B74CE9" w:rsidRPr="00CE5797" w:rsidRDefault="00CE06E1" w:rsidP="00CB3BD3">
            <w:pPr>
              <w:jc w:val="center"/>
              <w:rPr>
                <w:sz w:val="18"/>
                <w:szCs w:val="20"/>
              </w:rPr>
            </w:pPr>
            <m:oMathPara>
              <m:oMath>
                <m:sSub>
                  <m:sSubPr>
                    <m:ctrlPr>
                      <w:rPr>
                        <w:rFonts w:ascii="Cambria Math" w:hAnsi="Cambria Math"/>
                        <w:i/>
                        <w:sz w:val="18"/>
                      </w:rPr>
                    </m:ctrlPr>
                  </m:sSubPr>
                  <m:e>
                    <m:r>
                      <w:rPr>
                        <w:rFonts w:ascii="Cambria Math" w:hAnsi="Cambria Math"/>
                        <w:sz w:val="18"/>
                      </w:rPr>
                      <m:t>β</m:t>
                    </m:r>
                  </m:e>
                  <m:sub>
                    <m:r>
                      <w:rPr>
                        <w:rFonts w:ascii="Cambria Math" w:hAnsi="Cambria Math"/>
                        <w:sz w:val="18"/>
                      </w:rPr>
                      <m:t>SPR</m:t>
                    </m:r>
                  </m:sub>
                </m:sSub>
              </m:oMath>
            </m:oMathPara>
          </w:p>
        </w:tc>
        <w:tc>
          <w:tcPr>
            <w:tcW w:w="236" w:type="dxa"/>
          </w:tcPr>
          <w:p w:rsidR="00B74CE9" w:rsidRPr="00CE5797" w:rsidRDefault="00B74CE9" w:rsidP="00CB3BD3">
            <w:pPr>
              <w:jc w:val="center"/>
              <w:rPr>
                <w:sz w:val="18"/>
                <w:szCs w:val="20"/>
              </w:rPr>
            </w:pPr>
          </w:p>
        </w:tc>
        <w:tc>
          <w:tcPr>
            <w:tcW w:w="1361" w:type="dxa"/>
            <w:vAlign w:val="center"/>
          </w:tcPr>
          <w:p w:rsidR="00B74CE9" w:rsidRDefault="00B74CE9">
            <w:pPr>
              <w:rPr>
                <w:rFonts w:ascii="Calibri" w:hAnsi="Calibri"/>
                <w:color w:val="000000"/>
              </w:rPr>
            </w:pPr>
            <w:r>
              <w:rPr>
                <w:rFonts w:ascii="Calibri" w:hAnsi="Calibri"/>
                <w:color w:val="000000"/>
              </w:rPr>
              <w:t>-1.414</w:t>
            </w:r>
          </w:p>
        </w:tc>
        <w:tc>
          <w:tcPr>
            <w:tcW w:w="236" w:type="dxa"/>
            <w:vAlign w:val="center"/>
          </w:tcPr>
          <w:p w:rsidR="00B74CE9" w:rsidRDefault="00B74CE9">
            <w:pPr>
              <w:rPr>
                <w:rFonts w:ascii="Calibri" w:hAnsi="Calibri"/>
                <w:color w:val="000000"/>
              </w:rPr>
            </w:pPr>
          </w:p>
        </w:tc>
        <w:tc>
          <w:tcPr>
            <w:tcW w:w="1361" w:type="dxa"/>
            <w:vAlign w:val="center"/>
          </w:tcPr>
          <w:p w:rsidR="00B74CE9" w:rsidRDefault="00B74CE9">
            <w:pPr>
              <w:rPr>
                <w:rFonts w:ascii="Calibri" w:hAnsi="Calibri"/>
                <w:b/>
                <w:bCs/>
                <w:color w:val="FF0000"/>
              </w:rPr>
            </w:pPr>
            <w:r>
              <w:rPr>
                <w:rFonts w:ascii="Calibri" w:hAnsi="Calibri"/>
                <w:b/>
                <w:bCs/>
                <w:color w:val="FF0000"/>
              </w:rPr>
              <w:t>-0.369 ***</w:t>
            </w:r>
          </w:p>
        </w:tc>
        <w:tc>
          <w:tcPr>
            <w:tcW w:w="236" w:type="dxa"/>
            <w:vAlign w:val="center"/>
          </w:tcPr>
          <w:p w:rsidR="00B74CE9" w:rsidRDefault="00B74CE9">
            <w:pPr>
              <w:rPr>
                <w:rFonts w:ascii="Calibri" w:hAnsi="Calibri"/>
                <w:color w:val="000000"/>
              </w:rPr>
            </w:pPr>
          </w:p>
        </w:tc>
        <w:tc>
          <w:tcPr>
            <w:tcW w:w="1361" w:type="dxa"/>
            <w:vAlign w:val="center"/>
          </w:tcPr>
          <w:p w:rsidR="00B74CE9" w:rsidRDefault="00B74CE9">
            <w:pPr>
              <w:rPr>
                <w:rFonts w:ascii="Calibri" w:hAnsi="Calibri"/>
                <w:b/>
                <w:bCs/>
                <w:color w:val="FF0000"/>
              </w:rPr>
            </w:pPr>
            <w:r>
              <w:rPr>
                <w:rFonts w:ascii="Calibri" w:hAnsi="Calibri"/>
                <w:b/>
                <w:bCs/>
                <w:color w:val="FF0000"/>
              </w:rPr>
              <w:t>-0.087 ***</w:t>
            </w:r>
          </w:p>
        </w:tc>
        <w:tc>
          <w:tcPr>
            <w:tcW w:w="236" w:type="dxa"/>
            <w:vAlign w:val="center"/>
          </w:tcPr>
          <w:p w:rsidR="00B74CE9" w:rsidRDefault="00B74CE9">
            <w:pPr>
              <w:rPr>
                <w:rFonts w:ascii="Calibri" w:hAnsi="Calibri"/>
                <w:color w:val="000000"/>
              </w:rPr>
            </w:pPr>
          </w:p>
        </w:tc>
        <w:tc>
          <w:tcPr>
            <w:tcW w:w="1361" w:type="dxa"/>
            <w:vAlign w:val="center"/>
          </w:tcPr>
          <w:p w:rsidR="00B74CE9" w:rsidRDefault="00B74CE9">
            <w:pPr>
              <w:rPr>
                <w:rFonts w:ascii="Calibri" w:hAnsi="Calibri"/>
                <w:b/>
                <w:bCs/>
                <w:color w:val="548DD4"/>
              </w:rPr>
            </w:pPr>
            <w:r w:rsidRPr="006B67F6">
              <w:rPr>
                <w:rFonts w:ascii="Calibri" w:hAnsi="Calibri"/>
                <w:color w:val="000000"/>
              </w:rPr>
              <w:t>-0.009</w:t>
            </w:r>
          </w:p>
        </w:tc>
        <w:tc>
          <w:tcPr>
            <w:tcW w:w="236" w:type="dxa"/>
            <w:tcBorders>
              <w:right w:val="single" w:sz="4" w:space="0" w:color="auto"/>
            </w:tcBorders>
          </w:tcPr>
          <w:p w:rsidR="00B74CE9" w:rsidRPr="006303BE" w:rsidRDefault="00B74CE9" w:rsidP="00CB3BD3">
            <w:pPr>
              <w:rPr>
                <w:rFonts w:ascii="Calibri" w:hAnsi="Calibri"/>
                <w:color w:val="000000"/>
                <w:sz w:val="20"/>
              </w:rPr>
            </w:pPr>
          </w:p>
        </w:tc>
        <w:tc>
          <w:tcPr>
            <w:tcW w:w="236" w:type="dxa"/>
            <w:tcBorders>
              <w:left w:val="single" w:sz="4" w:space="0" w:color="auto"/>
            </w:tcBorders>
          </w:tcPr>
          <w:p w:rsidR="00B74CE9" w:rsidRPr="006303BE" w:rsidRDefault="00B74CE9" w:rsidP="00CB3BD3">
            <w:pPr>
              <w:rPr>
                <w:rFonts w:ascii="Calibri" w:hAnsi="Calibri"/>
                <w:color w:val="000000"/>
                <w:sz w:val="20"/>
              </w:rPr>
            </w:pPr>
          </w:p>
        </w:tc>
        <w:tc>
          <w:tcPr>
            <w:tcW w:w="1361" w:type="dxa"/>
            <w:vAlign w:val="center"/>
          </w:tcPr>
          <w:p w:rsidR="00B74CE9" w:rsidRDefault="00B74CE9">
            <w:pPr>
              <w:rPr>
                <w:rFonts w:ascii="Calibri" w:hAnsi="Calibri"/>
                <w:color w:val="000000"/>
              </w:rPr>
            </w:pPr>
            <w:r>
              <w:rPr>
                <w:rFonts w:ascii="Calibri" w:hAnsi="Calibri"/>
                <w:color w:val="000000"/>
              </w:rPr>
              <w:t>-0.643</w:t>
            </w:r>
          </w:p>
        </w:tc>
        <w:tc>
          <w:tcPr>
            <w:tcW w:w="236" w:type="dxa"/>
            <w:vAlign w:val="center"/>
          </w:tcPr>
          <w:p w:rsidR="00B74CE9" w:rsidRDefault="00B74CE9">
            <w:pPr>
              <w:rPr>
                <w:rFonts w:ascii="Calibri" w:hAnsi="Calibri"/>
                <w:color w:val="000000"/>
              </w:rPr>
            </w:pPr>
          </w:p>
        </w:tc>
        <w:tc>
          <w:tcPr>
            <w:tcW w:w="1361" w:type="dxa"/>
            <w:vAlign w:val="center"/>
          </w:tcPr>
          <w:p w:rsidR="00B74CE9" w:rsidRDefault="00B74CE9">
            <w:pPr>
              <w:rPr>
                <w:rFonts w:ascii="Calibri" w:hAnsi="Calibri"/>
                <w:b/>
                <w:bCs/>
                <w:color w:val="FF0000"/>
              </w:rPr>
            </w:pPr>
            <w:r>
              <w:rPr>
                <w:rFonts w:ascii="Calibri" w:hAnsi="Calibri"/>
                <w:b/>
                <w:bCs/>
                <w:color w:val="FF0000"/>
              </w:rPr>
              <w:t>-0.071 **</w:t>
            </w:r>
          </w:p>
        </w:tc>
        <w:tc>
          <w:tcPr>
            <w:tcW w:w="236" w:type="dxa"/>
            <w:vAlign w:val="center"/>
          </w:tcPr>
          <w:p w:rsidR="00B74CE9" w:rsidRDefault="00B74CE9">
            <w:pPr>
              <w:rPr>
                <w:rFonts w:ascii="Calibri" w:hAnsi="Calibri"/>
                <w:b/>
                <w:bCs/>
                <w:color w:val="FF0000"/>
              </w:rPr>
            </w:pPr>
          </w:p>
        </w:tc>
        <w:tc>
          <w:tcPr>
            <w:tcW w:w="1361" w:type="dxa"/>
            <w:vAlign w:val="center"/>
          </w:tcPr>
          <w:p w:rsidR="00B74CE9" w:rsidRDefault="00B74CE9">
            <w:pPr>
              <w:rPr>
                <w:rFonts w:ascii="Calibri" w:hAnsi="Calibri"/>
                <w:color w:val="000000"/>
              </w:rPr>
            </w:pPr>
            <w:r w:rsidRPr="00B74CE9">
              <w:rPr>
                <w:rFonts w:ascii="Calibri" w:hAnsi="Calibri"/>
                <w:b/>
                <w:bCs/>
                <w:color w:val="FF0000"/>
              </w:rPr>
              <w:t>-0.033 **</w:t>
            </w:r>
          </w:p>
        </w:tc>
        <w:tc>
          <w:tcPr>
            <w:tcW w:w="236" w:type="dxa"/>
            <w:vAlign w:val="center"/>
          </w:tcPr>
          <w:p w:rsidR="00B74CE9" w:rsidRDefault="00B74CE9">
            <w:pPr>
              <w:rPr>
                <w:rFonts w:ascii="Calibri" w:hAnsi="Calibri"/>
                <w:color w:val="000000"/>
              </w:rPr>
            </w:pPr>
          </w:p>
        </w:tc>
        <w:tc>
          <w:tcPr>
            <w:tcW w:w="1365" w:type="dxa"/>
            <w:vAlign w:val="center"/>
          </w:tcPr>
          <w:p w:rsidR="00B74CE9" w:rsidRDefault="00B74CE9">
            <w:pPr>
              <w:rPr>
                <w:rFonts w:ascii="Calibri" w:hAnsi="Calibri"/>
                <w:b/>
                <w:bCs/>
                <w:color w:val="548DD4"/>
              </w:rPr>
            </w:pPr>
            <w:r>
              <w:rPr>
                <w:rFonts w:ascii="Calibri" w:hAnsi="Calibri"/>
                <w:color w:val="000000"/>
              </w:rPr>
              <w:t>NA</w:t>
            </w:r>
          </w:p>
        </w:tc>
      </w:tr>
      <w:tr w:rsidR="008E5871" w:rsidRPr="00CE5797" w:rsidTr="00CB3BD3">
        <w:trPr>
          <w:trHeight w:val="20"/>
          <w:jc w:val="center"/>
        </w:trPr>
        <w:tc>
          <w:tcPr>
            <w:tcW w:w="1361" w:type="dxa"/>
            <w:vAlign w:val="center"/>
          </w:tcPr>
          <w:p w:rsidR="008E5871" w:rsidRPr="00CE5797" w:rsidRDefault="008E5871" w:rsidP="00CB3BD3">
            <w:pPr>
              <w:jc w:val="center"/>
              <w:rPr>
                <w:sz w:val="18"/>
                <w:szCs w:val="20"/>
              </w:rPr>
            </w:pPr>
          </w:p>
        </w:tc>
        <w:tc>
          <w:tcPr>
            <w:tcW w:w="236" w:type="dxa"/>
            <w:vAlign w:val="center"/>
          </w:tcPr>
          <w:p w:rsidR="008E5871" w:rsidRPr="00CE5797" w:rsidRDefault="008E5871" w:rsidP="00CB3BD3">
            <w:pPr>
              <w:jc w:val="center"/>
              <w:rPr>
                <w:sz w:val="18"/>
                <w:szCs w:val="20"/>
              </w:rPr>
            </w:pPr>
          </w:p>
        </w:tc>
        <w:tc>
          <w:tcPr>
            <w:tcW w:w="1361" w:type="dxa"/>
            <w:vAlign w:val="center"/>
          </w:tcPr>
          <w:p w:rsidR="008E5871" w:rsidRDefault="008E5871">
            <w:pPr>
              <w:rPr>
                <w:rFonts w:ascii="Calibri" w:hAnsi="Calibri"/>
                <w:color w:val="000000"/>
                <w:sz w:val="18"/>
                <w:szCs w:val="18"/>
              </w:rPr>
            </w:pPr>
          </w:p>
        </w:tc>
        <w:tc>
          <w:tcPr>
            <w:tcW w:w="236" w:type="dxa"/>
            <w:vAlign w:val="center"/>
          </w:tcPr>
          <w:p w:rsidR="008E5871" w:rsidRDefault="008E5871">
            <w:pPr>
              <w:rPr>
                <w:rFonts w:ascii="Calibri" w:hAnsi="Calibri"/>
                <w:color w:val="000000"/>
                <w:sz w:val="18"/>
                <w:szCs w:val="18"/>
              </w:rPr>
            </w:pPr>
          </w:p>
        </w:tc>
        <w:tc>
          <w:tcPr>
            <w:tcW w:w="1361" w:type="dxa"/>
            <w:vAlign w:val="center"/>
          </w:tcPr>
          <w:p w:rsidR="008E5871" w:rsidRDefault="008E5871">
            <w:pPr>
              <w:rPr>
                <w:rFonts w:ascii="Calibri" w:hAnsi="Calibri"/>
                <w:color w:val="000000"/>
                <w:sz w:val="18"/>
                <w:szCs w:val="18"/>
              </w:rPr>
            </w:pPr>
          </w:p>
        </w:tc>
        <w:tc>
          <w:tcPr>
            <w:tcW w:w="236" w:type="dxa"/>
            <w:vAlign w:val="center"/>
          </w:tcPr>
          <w:p w:rsidR="008E5871" w:rsidRDefault="008E5871">
            <w:pPr>
              <w:rPr>
                <w:rFonts w:ascii="Calibri" w:hAnsi="Calibri"/>
                <w:color w:val="000000"/>
                <w:sz w:val="18"/>
                <w:szCs w:val="18"/>
              </w:rPr>
            </w:pPr>
          </w:p>
        </w:tc>
        <w:tc>
          <w:tcPr>
            <w:tcW w:w="1361" w:type="dxa"/>
            <w:vAlign w:val="center"/>
          </w:tcPr>
          <w:p w:rsidR="008E5871" w:rsidRDefault="008E5871">
            <w:pPr>
              <w:rPr>
                <w:rFonts w:ascii="Calibri" w:hAnsi="Calibri"/>
                <w:color w:val="000000"/>
                <w:sz w:val="18"/>
                <w:szCs w:val="18"/>
              </w:rPr>
            </w:pPr>
          </w:p>
        </w:tc>
        <w:tc>
          <w:tcPr>
            <w:tcW w:w="236" w:type="dxa"/>
            <w:vAlign w:val="center"/>
          </w:tcPr>
          <w:p w:rsidR="008E5871" w:rsidRDefault="008E5871">
            <w:pPr>
              <w:rPr>
                <w:rFonts w:ascii="Calibri" w:hAnsi="Calibri"/>
                <w:color w:val="000000"/>
                <w:sz w:val="18"/>
                <w:szCs w:val="18"/>
              </w:rPr>
            </w:pPr>
          </w:p>
        </w:tc>
        <w:tc>
          <w:tcPr>
            <w:tcW w:w="1361" w:type="dxa"/>
            <w:vAlign w:val="center"/>
          </w:tcPr>
          <w:p w:rsidR="008E5871" w:rsidRDefault="008E5871">
            <w:pPr>
              <w:rPr>
                <w:rFonts w:ascii="Calibri" w:hAnsi="Calibri"/>
                <w:color w:val="000000"/>
                <w:sz w:val="18"/>
                <w:szCs w:val="18"/>
              </w:rPr>
            </w:pPr>
          </w:p>
        </w:tc>
        <w:tc>
          <w:tcPr>
            <w:tcW w:w="236" w:type="dxa"/>
            <w:tcBorders>
              <w:right w:val="single" w:sz="4" w:space="0" w:color="auto"/>
            </w:tcBorders>
            <w:vAlign w:val="center"/>
          </w:tcPr>
          <w:p w:rsidR="008E5871" w:rsidRPr="00CE5797" w:rsidRDefault="008E5871" w:rsidP="00CB3BD3">
            <w:pPr>
              <w:jc w:val="center"/>
              <w:rPr>
                <w:rFonts w:ascii="Calibri" w:hAnsi="Calibri"/>
                <w:color w:val="000000"/>
                <w:sz w:val="18"/>
              </w:rPr>
            </w:pPr>
          </w:p>
        </w:tc>
        <w:tc>
          <w:tcPr>
            <w:tcW w:w="236" w:type="dxa"/>
            <w:tcBorders>
              <w:left w:val="single" w:sz="4" w:space="0" w:color="auto"/>
            </w:tcBorders>
            <w:vAlign w:val="center"/>
          </w:tcPr>
          <w:p w:rsidR="008E5871" w:rsidRPr="00CE5797" w:rsidRDefault="008E5871" w:rsidP="00CB3BD3">
            <w:pPr>
              <w:jc w:val="center"/>
              <w:rPr>
                <w:rFonts w:ascii="Calibri" w:hAnsi="Calibri"/>
                <w:color w:val="000000"/>
                <w:sz w:val="18"/>
              </w:rPr>
            </w:pPr>
          </w:p>
        </w:tc>
        <w:tc>
          <w:tcPr>
            <w:tcW w:w="1361" w:type="dxa"/>
            <w:vAlign w:val="center"/>
          </w:tcPr>
          <w:p w:rsidR="008E5871" w:rsidRDefault="008E5871">
            <w:pPr>
              <w:rPr>
                <w:rFonts w:ascii="Calibri" w:hAnsi="Calibri"/>
                <w:color w:val="000000"/>
                <w:sz w:val="18"/>
                <w:szCs w:val="18"/>
              </w:rPr>
            </w:pPr>
          </w:p>
        </w:tc>
        <w:tc>
          <w:tcPr>
            <w:tcW w:w="236" w:type="dxa"/>
            <w:vAlign w:val="center"/>
          </w:tcPr>
          <w:p w:rsidR="008E5871" w:rsidRDefault="008E5871">
            <w:pPr>
              <w:rPr>
                <w:rFonts w:ascii="Calibri" w:hAnsi="Calibri"/>
                <w:color w:val="000000"/>
                <w:sz w:val="18"/>
                <w:szCs w:val="18"/>
              </w:rPr>
            </w:pPr>
          </w:p>
        </w:tc>
        <w:tc>
          <w:tcPr>
            <w:tcW w:w="1361" w:type="dxa"/>
            <w:vAlign w:val="center"/>
          </w:tcPr>
          <w:p w:rsidR="008E5871" w:rsidRDefault="008E5871">
            <w:pPr>
              <w:rPr>
                <w:rFonts w:ascii="Calibri" w:hAnsi="Calibri"/>
                <w:color w:val="000000"/>
                <w:sz w:val="18"/>
                <w:szCs w:val="18"/>
              </w:rPr>
            </w:pPr>
          </w:p>
        </w:tc>
        <w:tc>
          <w:tcPr>
            <w:tcW w:w="236" w:type="dxa"/>
            <w:vAlign w:val="center"/>
          </w:tcPr>
          <w:p w:rsidR="008E5871" w:rsidRDefault="008E5871">
            <w:pPr>
              <w:rPr>
                <w:rFonts w:ascii="Calibri" w:hAnsi="Calibri"/>
                <w:color w:val="000000"/>
                <w:sz w:val="18"/>
                <w:szCs w:val="18"/>
              </w:rPr>
            </w:pPr>
          </w:p>
        </w:tc>
        <w:tc>
          <w:tcPr>
            <w:tcW w:w="1361" w:type="dxa"/>
            <w:vAlign w:val="center"/>
          </w:tcPr>
          <w:p w:rsidR="008E5871" w:rsidRDefault="008E5871">
            <w:pPr>
              <w:rPr>
                <w:rFonts w:ascii="Calibri" w:hAnsi="Calibri"/>
                <w:color w:val="000000"/>
                <w:sz w:val="18"/>
                <w:szCs w:val="18"/>
              </w:rPr>
            </w:pPr>
          </w:p>
        </w:tc>
        <w:tc>
          <w:tcPr>
            <w:tcW w:w="236" w:type="dxa"/>
            <w:vAlign w:val="center"/>
          </w:tcPr>
          <w:p w:rsidR="008E5871" w:rsidRPr="00CE5797" w:rsidRDefault="008E5871" w:rsidP="00CB3BD3">
            <w:pPr>
              <w:jc w:val="center"/>
              <w:rPr>
                <w:rFonts w:ascii="Calibri" w:hAnsi="Calibri"/>
                <w:color w:val="000000"/>
                <w:sz w:val="18"/>
              </w:rPr>
            </w:pPr>
          </w:p>
        </w:tc>
        <w:tc>
          <w:tcPr>
            <w:tcW w:w="1365" w:type="dxa"/>
            <w:vAlign w:val="center"/>
          </w:tcPr>
          <w:p w:rsidR="008E5871" w:rsidRPr="00CE5797" w:rsidRDefault="008E5871" w:rsidP="00CB3BD3">
            <w:pPr>
              <w:jc w:val="center"/>
              <w:rPr>
                <w:rFonts w:ascii="Calibri" w:hAnsi="Calibri"/>
                <w:color w:val="000000"/>
                <w:sz w:val="18"/>
              </w:rPr>
            </w:pPr>
          </w:p>
        </w:tc>
      </w:tr>
      <w:tr w:rsidR="00B74CE9" w:rsidRPr="00CE5797" w:rsidTr="007404B1">
        <w:trPr>
          <w:trHeight w:val="254"/>
          <w:jc w:val="center"/>
        </w:trPr>
        <w:tc>
          <w:tcPr>
            <w:tcW w:w="1361" w:type="dxa"/>
          </w:tcPr>
          <w:p w:rsidR="00B74CE9" w:rsidRPr="00CE5797" w:rsidRDefault="00B74CE9" w:rsidP="00CB3BD3">
            <w:pPr>
              <w:jc w:val="center"/>
              <w:rPr>
                <w:i/>
                <w:sz w:val="18"/>
                <w:szCs w:val="20"/>
              </w:rPr>
            </w:pPr>
            <w:r w:rsidRPr="00CE5797">
              <w:rPr>
                <w:i/>
                <w:sz w:val="18"/>
                <w:szCs w:val="20"/>
              </w:rPr>
              <w:t>Adj-R</w:t>
            </w:r>
            <w:r w:rsidRPr="00CE5797">
              <w:rPr>
                <w:i/>
                <w:sz w:val="18"/>
                <w:szCs w:val="20"/>
                <w:vertAlign w:val="superscript"/>
              </w:rPr>
              <w:t>2</w:t>
            </w:r>
          </w:p>
        </w:tc>
        <w:tc>
          <w:tcPr>
            <w:tcW w:w="236" w:type="dxa"/>
          </w:tcPr>
          <w:p w:rsidR="00B74CE9" w:rsidRPr="00CE5797" w:rsidRDefault="00B74CE9" w:rsidP="00CB3BD3">
            <w:pPr>
              <w:jc w:val="center"/>
              <w:rPr>
                <w:sz w:val="18"/>
                <w:szCs w:val="20"/>
              </w:rPr>
            </w:pPr>
          </w:p>
        </w:tc>
        <w:tc>
          <w:tcPr>
            <w:tcW w:w="1361" w:type="dxa"/>
            <w:vAlign w:val="center"/>
          </w:tcPr>
          <w:p w:rsidR="00B74CE9" w:rsidRDefault="00B74CE9">
            <w:pPr>
              <w:jc w:val="right"/>
              <w:rPr>
                <w:rFonts w:ascii="Calibri" w:hAnsi="Calibri"/>
                <w:color w:val="000000"/>
                <w:sz w:val="18"/>
                <w:szCs w:val="18"/>
              </w:rPr>
            </w:pPr>
            <w:r>
              <w:rPr>
                <w:rFonts w:ascii="Calibri" w:hAnsi="Calibri"/>
                <w:color w:val="000000"/>
                <w:sz w:val="18"/>
                <w:szCs w:val="18"/>
              </w:rPr>
              <w:t>0.82%</w:t>
            </w:r>
          </w:p>
        </w:tc>
        <w:tc>
          <w:tcPr>
            <w:tcW w:w="236" w:type="dxa"/>
            <w:vAlign w:val="center"/>
          </w:tcPr>
          <w:p w:rsidR="00B74CE9" w:rsidRDefault="00B74CE9">
            <w:pPr>
              <w:rPr>
                <w:rFonts w:ascii="Calibri" w:hAnsi="Calibri"/>
                <w:color w:val="000000"/>
                <w:sz w:val="18"/>
                <w:szCs w:val="18"/>
              </w:rPr>
            </w:pPr>
          </w:p>
        </w:tc>
        <w:tc>
          <w:tcPr>
            <w:tcW w:w="1361" w:type="dxa"/>
            <w:vAlign w:val="center"/>
          </w:tcPr>
          <w:p w:rsidR="00B74CE9" w:rsidRDefault="00B74CE9">
            <w:pPr>
              <w:jc w:val="right"/>
              <w:rPr>
                <w:rFonts w:ascii="Calibri" w:hAnsi="Calibri"/>
                <w:color w:val="000000"/>
                <w:sz w:val="18"/>
                <w:szCs w:val="18"/>
              </w:rPr>
            </w:pPr>
            <w:r>
              <w:rPr>
                <w:rFonts w:ascii="Calibri" w:hAnsi="Calibri"/>
                <w:color w:val="000000"/>
                <w:sz w:val="18"/>
                <w:szCs w:val="18"/>
              </w:rPr>
              <w:t>6.14%</w:t>
            </w:r>
          </w:p>
        </w:tc>
        <w:tc>
          <w:tcPr>
            <w:tcW w:w="236" w:type="dxa"/>
            <w:vAlign w:val="center"/>
          </w:tcPr>
          <w:p w:rsidR="00B74CE9" w:rsidRDefault="00B74CE9">
            <w:pPr>
              <w:rPr>
                <w:rFonts w:ascii="Calibri" w:hAnsi="Calibri"/>
                <w:color w:val="000000"/>
                <w:sz w:val="18"/>
                <w:szCs w:val="18"/>
              </w:rPr>
            </w:pPr>
          </w:p>
        </w:tc>
        <w:tc>
          <w:tcPr>
            <w:tcW w:w="1361" w:type="dxa"/>
            <w:vAlign w:val="center"/>
          </w:tcPr>
          <w:p w:rsidR="00B74CE9" w:rsidRDefault="00B74CE9">
            <w:pPr>
              <w:jc w:val="right"/>
              <w:rPr>
                <w:rFonts w:ascii="Calibri" w:hAnsi="Calibri"/>
                <w:color w:val="000000"/>
                <w:sz w:val="18"/>
                <w:szCs w:val="18"/>
              </w:rPr>
            </w:pPr>
            <w:r>
              <w:rPr>
                <w:rFonts w:ascii="Calibri" w:hAnsi="Calibri"/>
                <w:color w:val="000000"/>
                <w:sz w:val="18"/>
                <w:szCs w:val="18"/>
              </w:rPr>
              <w:t>21.44%</w:t>
            </w:r>
          </w:p>
        </w:tc>
        <w:tc>
          <w:tcPr>
            <w:tcW w:w="236" w:type="dxa"/>
            <w:vAlign w:val="center"/>
          </w:tcPr>
          <w:p w:rsidR="00B74CE9" w:rsidRDefault="00B74CE9">
            <w:pPr>
              <w:rPr>
                <w:rFonts w:ascii="Calibri" w:hAnsi="Calibri"/>
                <w:color w:val="000000"/>
                <w:sz w:val="18"/>
                <w:szCs w:val="18"/>
              </w:rPr>
            </w:pPr>
          </w:p>
        </w:tc>
        <w:tc>
          <w:tcPr>
            <w:tcW w:w="1361" w:type="dxa"/>
            <w:vAlign w:val="center"/>
          </w:tcPr>
          <w:p w:rsidR="00B74CE9" w:rsidRDefault="00B74CE9">
            <w:pPr>
              <w:jc w:val="right"/>
              <w:rPr>
                <w:rFonts w:ascii="Calibri" w:hAnsi="Calibri"/>
                <w:color w:val="000000"/>
                <w:sz w:val="18"/>
                <w:szCs w:val="18"/>
              </w:rPr>
            </w:pPr>
            <w:r>
              <w:rPr>
                <w:rFonts w:ascii="Calibri" w:hAnsi="Calibri"/>
                <w:color w:val="000000"/>
                <w:sz w:val="18"/>
                <w:szCs w:val="18"/>
              </w:rPr>
              <w:t>22.55%</w:t>
            </w:r>
          </w:p>
        </w:tc>
        <w:tc>
          <w:tcPr>
            <w:tcW w:w="236" w:type="dxa"/>
            <w:tcBorders>
              <w:right w:val="single" w:sz="4" w:space="0" w:color="auto"/>
            </w:tcBorders>
          </w:tcPr>
          <w:p w:rsidR="00B74CE9" w:rsidRPr="00CE5797" w:rsidRDefault="00B74CE9" w:rsidP="00CB3BD3">
            <w:pPr>
              <w:jc w:val="right"/>
              <w:rPr>
                <w:rFonts w:ascii="Calibri" w:hAnsi="Calibri"/>
                <w:color w:val="000000"/>
                <w:sz w:val="18"/>
              </w:rPr>
            </w:pPr>
          </w:p>
        </w:tc>
        <w:tc>
          <w:tcPr>
            <w:tcW w:w="236" w:type="dxa"/>
            <w:tcBorders>
              <w:left w:val="single" w:sz="4" w:space="0" w:color="auto"/>
            </w:tcBorders>
          </w:tcPr>
          <w:p w:rsidR="00B74CE9" w:rsidRPr="00CE5797" w:rsidRDefault="00B74CE9" w:rsidP="00CB3BD3">
            <w:pPr>
              <w:jc w:val="right"/>
              <w:rPr>
                <w:rFonts w:ascii="Calibri" w:hAnsi="Calibri"/>
                <w:color w:val="000000"/>
                <w:sz w:val="18"/>
              </w:rPr>
            </w:pPr>
          </w:p>
        </w:tc>
        <w:tc>
          <w:tcPr>
            <w:tcW w:w="1361" w:type="dxa"/>
            <w:vAlign w:val="center"/>
          </w:tcPr>
          <w:p w:rsidR="00B74CE9" w:rsidRDefault="00B74CE9">
            <w:pPr>
              <w:jc w:val="right"/>
              <w:rPr>
                <w:rFonts w:ascii="Calibri" w:hAnsi="Calibri"/>
                <w:color w:val="000000"/>
                <w:sz w:val="18"/>
                <w:szCs w:val="18"/>
              </w:rPr>
            </w:pPr>
            <w:r>
              <w:rPr>
                <w:rFonts w:ascii="Calibri" w:hAnsi="Calibri"/>
                <w:color w:val="000000"/>
                <w:sz w:val="18"/>
                <w:szCs w:val="18"/>
              </w:rPr>
              <w:t>1.01%</w:t>
            </w:r>
          </w:p>
        </w:tc>
        <w:tc>
          <w:tcPr>
            <w:tcW w:w="236" w:type="dxa"/>
            <w:vAlign w:val="center"/>
          </w:tcPr>
          <w:p w:rsidR="00B74CE9" w:rsidRDefault="00B74CE9">
            <w:pPr>
              <w:rPr>
                <w:rFonts w:ascii="Calibri" w:hAnsi="Calibri"/>
                <w:color w:val="000000"/>
                <w:sz w:val="18"/>
                <w:szCs w:val="18"/>
              </w:rPr>
            </w:pPr>
          </w:p>
        </w:tc>
        <w:tc>
          <w:tcPr>
            <w:tcW w:w="1361" w:type="dxa"/>
            <w:vAlign w:val="center"/>
          </w:tcPr>
          <w:p w:rsidR="00B74CE9" w:rsidRDefault="00B74CE9">
            <w:pPr>
              <w:jc w:val="right"/>
              <w:rPr>
                <w:rFonts w:ascii="Calibri" w:hAnsi="Calibri"/>
                <w:color w:val="000000"/>
                <w:sz w:val="18"/>
                <w:szCs w:val="18"/>
              </w:rPr>
            </w:pPr>
            <w:r>
              <w:rPr>
                <w:rFonts w:ascii="Calibri" w:hAnsi="Calibri"/>
                <w:color w:val="000000"/>
                <w:sz w:val="18"/>
                <w:szCs w:val="18"/>
              </w:rPr>
              <w:t>6.54%</w:t>
            </w:r>
          </w:p>
        </w:tc>
        <w:tc>
          <w:tcPr>
            <w:tcW w:w="236" w:type="dxa"/>
            <w:vAlign w:val="center"/>
          </w:tcPr>
          <w:p w:rsidR="00B74CE9" w:rsidRDefault="00B74CE9">
            <w:pPr>
              <w:rPr>
                <w:rFonts w:ascii="Calibri" w:hAnsi="Calibri"/>
                <w:color w:val="000000"/>
                <w:sz w:val="18"/>
                <w:szCs w:val="18"/>
              </w:rPr>
            </w:pPr>
          </w:p>
        </w:tc>
        <w:tc>
          <w:tcPr>
            <w:tcW w:w="1361" w:type="dxa"/>
            <w:vAlign w:val="center"/>
          </w:tcPr>
          <w:p w:rsidR="00B74CE9" w:rsidRDefault="00B74CE9">
            <w:pPr>
              <w:jc w:val="right"/>
              <w:rPr>
                <w:rFonts w:ascii="Calibri" w:hAnsi="Calibri"/>
                <w:color w:val="000000"/>
                <w:sz w:val="18"/>
                <w:szCs w:val="18"/>
              </w:rPr>
            </w:pPr>
            <w:r>
              <w:rPr>
                <w:rFonts w:ascii="Calibri" w:hAnsi="Calibri"/>
                <w:color w:val="000000"/>
                <w:sz w:val="18"/>
                <w:szCs w:val="18"/>
              </w:rPr>
              <w:t>22.93%</w:t>
            </w:r>
          </w:p>
        </w:tc>
        <w:tc>
          <w:tcPr>
            <w:tcW w:w="236" w:type="dxa"/>
            <w:vAlign w:val="center"/>
          </w:tcPr>
          <w:p w:rsidR="00B74CE9" w:rsidRDefault="00B74CE9">
            <w:pPr>
              <w:rPr>
                <w:rFonts w:ascii="Calibri" w:hAnsi="Calibri"/>
                <w:color w:val="000000"/>
                <w:sz w:val="18"/>
                <w:szCs w:val="18"/>
              </w:rPr>
            </w:pPr>
          </w:p>
        </w:tc>
        <w:tc>
          <w:tcPr>
            <w:tcW w:w="1365" w:type="dxa"/>
            <w:vAlign w:val="center"/>
          </w:tcPr>
          <w:p w:rsidR="00B74CE9" w:rsidRDefault="00B74CE9" w:rsidP="00E016EB">
            <w:pPr>
              <w:jc w:val="right"/>
              <w:rPr>
                <w:rFonts w:ascii="Calibri" w:hAnsi="Calibri"/>
                <w:color w:val="000000"/>
                <w:sz w:val="18"/>
                <w:szCs w:val="18"/>
              </w:rPr>
            </w:pPr>
            <w:r>
              <w:rPr>
                <w:rFonts w:ascii="Calibri" w:hAnsi="Calibri"/>
                <w:color w:val="000000"/>
                <w:sz w:val="18"/>
                <w:szCs w:val="18"/>
              </w:rPr>
              <w:t>NA</w:t>
            </w:r>
          </w:p>
        </w:tc>
      </w:tr>
      <w:tr w:rsidR="00B74CE9" w:rsidRPr="00CE5797" w:rsidTr="007404B1">
        <w:trPr>
          <w:trHeight w:val="254"/>
          <w:jc w:val="center"/>
        </w:trPr>
        <w:tc>
          <w:tcPr>
            <w:tcW w:w="1361" w:type="dxa"/>
          </w:tcPr>
          <w:p w:rsidR="00B74CE9" w:rsidRPr="00CE5797" w:rsidRDefault="00B74CE9" w:rsidP="00CB3BD3">
            <w:pPr>
              <w:jc w:val="center"/>
              <w:rPr>
                <w:i/>
                <w:sz w:val="18"/>
                <w:szCs w:val="20"/>
              </w:rPr>
            </w:pPr>
            <w:r w:rsidRPr="00CE5797">
              <w:rPr>
                <w:i/>
                <w:sz w:val="18"/>
                <w:szCs w:val="20"/>
              </w:rPr>
              <w:t>Per/Cross-sec</w:t>
            </w:r>
          </w:p>
        </w:tc>
        <w:tc>
          <w:tcPr>
            <w:tcW w:w="236" w:type="dxa"/>
          </w:tcPr>
          <w:p w:rsidR="00B74CE9" w:rsidRPr="00CE5797" w:rsidRDefault="00B74CE9" w:rsidP="00CB3BD3">
            <w:pPr>
              <w:jc w:val="center"/>
              <w:rPr>
                <w:sz w:val="18"/>
                <w:szCs w:val="20"/>
              </w:rPr>
            </w:pPr>
          </w:p>
        </w:tc>
        <w:tc>
          <w:tcPr>
            <w:tcW w:w="1361" w:type="dxa"/>
            <w:vAlign w:val="center"/>
          </w:tcPr>
          <w:p w:rsidR="00B74CE9" w:rsidRDefault="00B74CE9">
            <w:pPr>
              <w:jc w:val="center"/>
              <w:rPr>
                <w:rFonts w:ascii="Calibri" w:hAnsi="Calibri"/>
                <w:i/>
                <w:iCs/>
                <w:color w:val="000000"/>
                <w:sz w:val="18"/>
                <w:szCs w:val="18"/>
              </w:rPr>
            </w:pPr>
            <w:r>
              <w:rPr>
                <w:rFonts w:ascii="Calibri" w:hAnsi="Calibri"/>
                <w:i/>
                <w:iCs/>
                <w:color w:val="000000"/>
                <w:sz w:val="18"/>
                <w:szCs w:val="18"/>
              </w:rPr>
              <w:t>722/81</w:t>
            </w:r>
          </w:p>
        </w:tc>
        <w:tc>
          <w:tcPr>
            <w:tcW w:w="236" w:type="dxa"/>
            <w:vAlign w:val="center"/>
          </w:tcPr>
          <w:p w:rsidR="00B74CE9" w:rsidRDefault="00B74CE9">
            <w:pPr>
              <w:jc w:val="center"/>
              <w:rPr>
                <w:rFonts w:ascii="Calibri" w:hAnsi="Calibri"/>
                <w:i/>
                <w:iCs/>
                <w:color w:val="000000"/>
                <w:sz w:val="18"/>
                <w:szCs w:val="18"/>
              </w:rPr>
            </w:pPr>
          </w:p>
        </w:tc>
        <w:tc>
          <w:tcPr>
            <w:tcW w:w="1361" w:type="dxa"/>
            <w:vAlign w:val="center"/>
          </w:tcPr>
          <w:p w:rsidR="00B74CE9" w:rsidRDefault="00B74CE9">
            <w:pPr>
              <w:jc w:val="center"/>
              <w:rPr>
                <w:rFonts w:ascii="Calibri" w:hAnsi="Calibri"/>
                <w:i/>
                <w:iCs/>
                <w:color w:val="000000"/>
                <w:sz w:val="18"/>
                <w:szCs w:val="18"/>
              </w:rPr>
            </w:pPr>
            <w:r>
              <w:rPr>
                <w:rFonts w:ascii="Calibri" w:hAnsi="Calibri"/>
                <w:i/>
                <w:iCs/>
                <w:color w:val="000000"/>
                <w:sz w:val="18"/>
                <w:szCs w:val="18"/>
              </w:rPr>
              <w:t>609/105</w:t>
            </w:r>
          </w:p>
        </w:tc>
        <w:tc>
          <w:tcPr>
            <w:tcW w:w="236" w:type="dxa"/>
            <w:vAlign w:val="center"/>
          </w:tcPr>
          <w:p w:rsidR="00B74CE9" w:rsidRDefault="00B74CE9">
            <w:pPr>
              <w:jc w:val="center"/>
              <w:rPr>
                <w:rFonts w:ascii="Calibri" w:hAnsi="Calibri"/>
                <w:i/>
                <w:iCs/>
                <w:color w:val="000000"/>
                <w:sz w:val="18"/>
                <w:szCs w:val="18"/>
              </w:rPr>
            </w:pPr>
          </w:p>
        </w:tc>
        <w:tc>
          <w:tcPr>
            <w:tcW w:w="1361" w:type="dxa"/>
            <w:vAlign w:val="center"/>
          </w:tcPr>
          <w:p w:rsidR="00B74CE9" w:rsidRDefault="00B74CE9">
            <w:pPr>
              <w:jc w:val="center"/>
              <w:rPr>
                <w:rFonts w:ascii="Calibri" w:hAnsi="Calibri"/>
                <w:i/>
                <w:iCs/>
                <w:color w:val="000000"/>
                <w:sz w:val="18"/>
                <w:szCs w:val="18"/>
              </w:rPr>
            </w:pPr>
            <w:r>
              <w:rPr>
                <w:rFonts w:ascii="Calibri" w:hAnsi="Calibri"/>
                <w:i/>
                <w:iCs/>
                <w:color w:val="000000"/>
                <w:sz w:val="18"/>
                <w:szCs w:val="18"/>
              </w:rPr>
              <w:t>513/119</w:t>
            </w:r>
          </w:p>
        </w:tc>
        <w:tc>
          <w:tcPr>
            <w:tcW w:w="236" w:type="dxa"/>
            <w:vAlign w:val="center"/>
          </w:tcPr>
          <w:p w:rsidR="00B74CE9" w:rsidRDefault="00B74CE9">
            <w:pPr>
              <w:jc w:val="center"/>
              <w:rPr>
                <w:rFonts w:ascii="Calibri" w:hAnsi="Calibri"/>
                <w:i/>
                <w:iCs/>
                <w:color w:val="000000"/>
                <w:sz w:val="18"/>
                <w:szCs w:val="18"/>
              </w:rPr>
            </w:pPr>
          </w:p>
        </w:tc>
        <w:tc>
          <w:tcPr>
            <w:tcW w:w="1361" w:type="dxa"/>
            <w:vAlign w:val="center"/>
          </w:tcPr>
          <w:p w:rsidR="00B74CE9" w:rsidRDefault="00B74CE9">
            <w:pPr>
              <w:jc w:val="center"/>
              <w:rPr>
                <w:rFonts w:ascii="Calibri" w:hAnsi="Calibri"/>
                <w:i/>
                <w:iCs/>
                <w:color w:val="000000"/>
                <w:sz w:val="18"/>
                <w:szCs w:val="18"/>
              </w:rPr>
            </w:pPr>
            <w:r>
              <w:rPr>
                <w:rFonts w:ascii="Calibri" w:hAnsi="Calibri"/>
                <w:i/>
                <w:iCs/>
                <w:color w:val="000000"/>
                <w:sz w:val="18"/>
                <w:szCs w:val="18"/>
              </w:rPr>
              <w:t>507/140</w:t>
            </w:r>
          </w:p>
        </w:tc>
        <w:tc>
          <w:tcPr>
            <w:tcW w:w="236" w:type="dxa"/>
            <w:tcBorders>
              <w:right w:val="single" w:sz="4" w:space="0" w:color="auto"/>
            </w:tcBorders>
          </w:tcPr>
          <w:p w:rsidR="00B74CE9" w:rsidRPr="00ED0AE0" w:rsidRDefault="00B74CE9" w:rsidP="00CB3BD3">
            <w:pPr>
              <w:jc w:val="center"/>
              <w:rPr>
                <w:rFonts w:ascii="Calibri" w:hAnsi="Calibri"/>
                <w:i/>
                <w:color w:val="000000"/>
                <w:sz w:val="18"/>
              </w:rPr>
            </w:pPr>
          </w:p>
        </w:tc>
        <w:tc>
          <w:tcPr>
            <w:tcW w:w="236" w:type="dxa"/>
            <w:tcBorders>
              <w:left w:val="single" w:sz="4" w:space="0" w:color="auto"/>
            </w:tcBorders>
          </w:tcPr>
          <w:p w:rsidR="00B74CE9" w:rsidRPr="00ED0AE0" w:rsidRDefault="00B74CE9" w:rsidP="00CB3BD3">
            <w:pPr>
              <w:jc w:val="center"/>
              <w:rPr>
                <w:rFonts w:ascii="Calibri" w:hAnsi="Calibri"/>
                <w:i/>
                <w:color w:val="000000"/>
                <w:sz w:val="18"/>
              </w:rPr>
            </w:pPr>
          </w:p>
        </w:tc>
        <w:tc>
          <w:tcPr>
            <w:tcW w:w="1361" w:type="dxa"/>
            <w:vAlign w:val="center"/>
          </w:tcPr>
          <w:p w:rsidR="00B74CE9" w:rsidRDefault="00B74CE9">
            <w:pPr>
              <w:jc w:val="center"/>
              <w:rPr>
                <w:rFonts w:ascii="Calibri" w:hAnsi="Calibri"/>
                <w:i/>
                <w:iCs/>
                <w:color w:val="000000"/>
                <w:sz w:val="18"/>
                <w:szCs w:val="18"/>
              </w:rPr>
            </w:pPr>
            <w:r>
              <w:rPr>
                <w:rFonts w:ascii="Calibri" w:hAnsi="Calibri"/>
                <w:i/>
                <w:iCs/>
                <w:color w:val="000000"/>
                <w:sz w:val="18"/>
                <w:szCs w:val="18"/>
              </w:rPr>
              <w:t>722/26</w:t>
            </w:r>
          </w:p>
        </w:tc>
        <w:tc>
          <w:tcPr>
            <w:tcW w:w="236" w:type="dxa"/>
            <w:vAlign w:val="center"/>
          </w:tcPr>
          <w:p w:rsidR="00B74CE9" w:rsidRDefault="00B74CE9">
            <w:pPr>
              <w:jc w:val="center"/>
              <w:rPr>
                <w:rFonts w:ascii="Calibri" w:hAnsi="Calibri"/>
                <w:i/>
                <w:iCs/>
                <w:color w:val="000000"/>
                <w:sz w:val="18"/>
                <w:szCs w:val="18"/>
              </w:rPr>
            </w:pPr>
          </w:p>
        </w:tc>
        <w:tc>
          <w:tcPr>
            <w:tcW w:w="1361" w:type="dxa"/>
            <w:vAlign w:val="center"/>
          </w:tcPr>
          <w:p w:rsidR="00B74CE9" w:rsidRDefault="00B74CE9">
            <w:pPr>
              <w:jc w:val="center"/>
              <w:rPr>
                <w:rFonts w:ascii="Calibri" w:hAnsi="Calibri"/>
                <w:i/>
                <w:iCs/>
                <w:color w:val="000000"/>
                <w:sz w:val="18"/>
                <w:szCs w:val="18"/>
              </w:rPr>
            </w:pPr>
            <w:r>
              <w:rPr>
                <w:rFonts w:ascii="Calibri" w:hAnsi="Calibri"/>
                <w:i/>
                <w:iCs/>
                <w:color w:val="000000"/>
                <w:sz w:val="18"/>
                <w:szCs w:val="18"/>
              </w:rPr>
              <w:t>609/26</w:t>
            </w:r>
          </w:p>
        </w:tc>
        <w:tc>
          <w:tcPr>
            <w:tcW w:w="236" w:type="dxa"/>
            <w:vAlign w:val="center"/>
          </w:tcPr>
          <w:p w:rsidR="00B74CE9" w:rsidRDefault="00B74CE9">
            <w:pPr>
              <w:jc w:val="center"/>
              <w:rPr>
                <w:rFonts w:ascii="Calibri" w:hAnsi="Calibri"/>
                <w:i/>
                <w:iCs/>
                <w:color w:val="000000"/>
                <w:sz w:val="18"/>
                <w:szCs w:val="18"/>
              </w:rPr>
            </w:pPr>
          </w:p>
        </w:tc>
        <w:tc>
          <w:tcPr>
            <w:tcW w:w="1361" w:type="dxa"/>
            <w:vAlign w:val="center"/>
          </w:tcPr>
          <w:p w:rsidR="00B74CE9" w:rsidRDefault="00B74CE9">
            <w:pPr>
              <w:jc w:val="center"/>
              <w:rPr>
                <w:rFonts w:ascii="Calibri" w:hAnsi="Calibri"/>
                <w:i/>
                <w:iCs/>
                <w:color w:val="000000"/>
                <w:sz w:val="18"/>
                <w:szCs w:val="18"/>
              </w:rPr>
            </w:pPr>
            <w:r>
              <w:rPr>
                <w:rFonts w:ascii="Calibri" w:hAnsi="Calibri"/>
                <w:i/>
                <w:iCs/>
                <w:color w:val="000000"/>
                <w:sz w:val="18"/>
                <w:szCs w:val="18"/>
              </w:rPr>
              <w:t>462/24</w:t>
            </w:r>
          </w:p>
        </w:tc>
        <w:tc>
          <w:tcPr>
            <w:tcW w:w="236" w:type="dxa"/>
            <w:vAlign w:val="center"/>
          </w:tcPr>
          <w:p w:rsidR="00B74CE9" w:rsidRDefault="00B74CE9">
            <w:pPr>
              <w:jc w:val="center"/>
              <w:rPr>
                <w:rFonts w:ascii="Calibri" w:hAnsi="Calibri"/>
                <w:i/>
                <w:iCs/>
                <w:color w:val="000000"/>
                <w:sz w:val="18"/>
                <w:szCs w:val="18"/>
              </w:rPr>
            </w:pPr>
          </w:p>
        </w:tc>
        <w:tc>
          <w:tcPr>
            <w:tcW w:w="1365" w:type="dxa"/>
            <w:vAlign w:val="center"/>
          </w:tcPr>
          <w:p w:rsidR="00B74CE9" w:rsidRDefault="00B74CE9">
            <w:pPr>
              <w:jc w:val="center"/>
              <w:rPr>
                <w:rFonts w:ascii="Calibri" w:hAnsi="Calibri"/>
                <w:i/>
                <w:iCs/>
                <w:color w:val="000000"/>
                <w:sz w:val="18"/>
                <w:szCs w:val="18"/>
              </w:rPr>
            </w:pPr>
            <w:r>
              <w:rPr>
                <w:rFonts w:ascii="Calibri" w:hAnsi="Calibri"/>
                <w:i/>
                <w:iCs/>
                <w:color w:val="000000"/>
                <w:sz w:val="18"/>
                <w:szCs w:val="18"/>
              </w:rPr>
              <w:t>NA</w:t>
            </w:r>
          </w:p>
        </w:tc>
      </w:tr>
      <w:tr w:rsidR="00B74CE9" w:rsidRPr="00CE5797" w:rsidTr="00CB3BD3">
        <w:trPr>
          <w:trHeight w:val="254"/>
          <w:jc w:val="center"/>
        </w:trPr>
        <w:tc>
          <w:tcPr>
            <w:tcW w:w="1361" w:type="dxa"/>
            <w:tcBorders>
              <w:bottom w:val="single" w:sz="4" w:space="0" w:color="auto"/>
            </w:tcBorders>
            <w:vAlign w:val="center"/>
          </w:tcPr>
          <w:p w:rsidR="00B74CE9" w:rsidRPr="00CE5797" w:rsidRDefault="00B74CE9" w:rsidP="00CB3BD3">
            <w:pPr>
              <w:jc w:val="center"/>
              <w:rPr>
                <w:i/>
                <w:sz w:val="18"/>
                <w:szCs w:val="20"/>
              </w:rPr>
            </w:pPr>
            <w:r w:rsidRPr="00CE5797">
              <w:rPr>
                <w:i/>
                <w:sz w:val="18"/>
                <w:szCs w:val="20"/>
              </w:rPr>
              <w:t>#Obs</w:t>
            </w:r>
          </w:p>
        </w:tc>
        <w:tc>
          <w:tcPr>
            <w:tcW w:w="236" w:type="dxa"/>
            <w:tcBorders>
              <w:bottom w:val="single" w:sz="4" w:space="0" w:color="auto"/>
            </w:tcBorders>
            <w:vAlign w:val="center"/>
          </w:tcPr>
          <w:p w:rsidR="00B74CE9" w:rsidRPr="00CE5797" w:rsidRDefault="00B74CE9" w:rsidP="00CB3BD3">
            <w:pPr>
              <w:jc w:val="center"/>
              <w:rPr>
                <w:sz w:val="18"/>
                <w:szCs w:val="20"/>
              </w:rPr>
            </w:pPr>
          </w:p>
        </w:tc>
        <w:tc>
          <w:tcPr>
            <w:tcW w:w="1361" w:type="dxa"/>
            <w:tcBorders>
              <w:bottom w:val="single" w:sz="4" w:space="0" w:color="auto"/>
            </w:tcBorders>
            <w:vAlign w:val="center"/>
          </w:tcPr>
          <w:p w:rsidR="00B74CE9" w:rsidRDefault="00B74CE9">
            <w:pPr>
              <w:jc w:val="center"/>
              <w:rPr>
                <w:rFonts w:ascii="Calibri" w:hAnsi="Calibri"/>
                <w:i/>
                <w:iCs/>
                <w:color w:val="000000"/>
                <w:sz w:val="18"/>
                <w:szCs w:val="18"/>
              </w:rPr>
            </w:pPr>
            <w:r>
              <w:rPr>
                <w:rFonts w:ascii="Calibri" w:hAnsi="Calibri"/>
                <w:i/>
                <w:iCs/>
                <w:color w:val="000000"/>
                <w:sz w:val="18"/>
                <w:szCs w:val="18"/>
              </w:rPr>
              <w:t>41,655</w:t>
            </w:r>
          </w:p>
        </w:tc>
        <w:tc>
          <w:tcPr>
            <w:tcW w:w="236" w:type="dxa"/>
            <w:tcBorders>
              <w:bottom w:val="single" w:sz="4" w:space="0" w:color="auto"/>
            </w:tcBorders>
            <w:vAlign w:val="center"/>
          </w:tcPr>
          <w:p w:rsidR="00B74CE9" w:rsidRDefault="00B74CE9">
            <w:pPr>
              <w:jc w:val="center"/>
              <w:rPr>
                <w:rFonts w:ascii="Calibri" w:hAnsi="Calibri"/>
                <w:i/>
                <w:iCs/>
                <w:color w:val="000000"/>
                <w:sz w:val="18"/>
                <w:szCs w:val="18"/>
              </w:rPr>
            </w:pPr>
            <w:r>
              <w:rPr>
                <w:rFonts w:ascii="Calibri" w:hAnsi="Calibri"/>
                <w:i/>
                <w:iCs/>
                <w:color w:val="000000"/>
                <w:sz w:val="18"/>
                <w:szCs w:val="18"/>
              </w:rPr>
              <w:t> </w:t>
            </w:r>
          </w:p>
        </w:tc>
        <w:tc>
          <w:tcPr>
            <w:tcW w:w="1361" w:type="dxa"/>
            <w:tcBorders>
              <w:bottom w:val="single" w:sz="4" w:space="0" w:color="auto"/>
            </w:tcBorders>
            <w:vAlign w:val="center"/>
          </w:tcPr>
          <w:p w:rsidR="00B74CE9" w:rsidRDefault="00B74CE9">
            <w:pPr>
              <w:jc w:val="center"/>
              <w:rPr>
                <w:rFonts w:ascii="Calibri" w:hAnsi="Calibri"/>
                <w:i/>
                <w:iCs/>
                <w:color w:val="000000"/>
                <w:sz w:val="18"/>
                <w:szCs w:val="18"/>
              </w:rPr>
            </w:pPr>
            <w:r>
              <w:rPr>
                <w:rFonts w:ascii="Calibri" w:hAnsi="Calibri"/>
                <w:i/>
                <w:iCs/>
                <w:color w:val="000000"/>
                <w:sz w:val="18"/>
                <w:szCs w:val="18"/>
              </w:rPr>
              <w:t>45,175</w:t>
            </w:r>
          </w:p>
        </w:tc>
        <w:tc>
          <w:tcPr>
            <w:tcW w:w="236" w:type="dxa"/>
            <w:tcBorders>
              <w:bottom w:val="single" w:sz="4" w:space="0" w:color="auto"/>
            </w:tcBorders>
            <w:vAlign w:val="center"/>
          </w:tcPr>
          <w:p w:rsidR="00B74CE9" w:rsidRDefault="00B74CE9">
            <w:pPr>
              <w:jc w:val="center"/>
              <w:rPr>
                <w:rFonts w:ascii="Calibri" w:hAnsi="Calibri"/>
                <w:i/>
                <w:iCs/>
                <w:color w:val="000000"/>
                <w:sz w:val="18"/>
                <w:szCs w:val="18"/>
              </w:rPr>
            </w:pPr>
            <w:r>
              <w:rPr>
                <w:rFonts w:ascii="Calibri" w:hAnsi="Calibri"/>
                <w:i/>
                <w:iCs/>
                <w:color w:val="000000"/>
                <w:sz w:val="18"/>
                <w:szCs w:val="18"/>
              </w:rPr>
              <w:t> </w:t>
            </w:r>
          </w:p>
        </w:tc>
        <w:tc>
          <w:tcPr>
            <w:tcW w:w="1361" w:type="dxa"/>
            <w:tcBorders>
              <w:bottom w:val="single" w:sz="4" w:space="0" w:color="auto"/>
            </w:tcBorders>
            <w:vAlign w:val="center"/>
          </w:tcPr>
          <w:p w:rsidR="00B74CE9" w:rsidRDefault="00B74CE9">
            <w:pPr>
              <w:jc w:val="center"/>
              <w:rPr>
                <w:rFonts w:ascii="Calibri" w:hAnsi="Calibri"/>
                <w:i/>
                <w:iCs/>
                <w:color w:val="000000"/>
                <w:sz w:val="18"/>
                <w:szCs w:val="18"/>
              </w:rPr>
            </w:pPr>
            <w:r>
              <w:rPr>
                <w:rFonts w:ascii="Calibri" w:hAnsi="Calibri"/>
                <w:i/>
                <w:iCs/>
                <w:color w:val="000000"/>
                <w:sz w:val="18"/>
                <w:szCs w:val="18"/>
              </w:rPr>
              <w:t>50,285</w:t>
            </w:r>
          </w:p>
        </w:tc>
        <w:tc>
          <w:tcPr>
            <w:tcW w:w="236" w:type="dxa"/>
            <w:tcBorders>
              <w:bottom w:val="single" w:sz="4" w:space="0" w:color="auto"/>
            </w:tcBorders>
            <w:vAlign w:val="center"/>
          </w:tcPr>
          <w:p w:rsidR="00B74CE9" w:rsidRDefault="00B74CE9">
            <w:pPr>
              <w:jc w:val="center"/>
              <w:rPr>
                <w:rFonts w:ascii="Calibri" w:hAnsi="Calibri"/>
                <w:i/>
                <w:iCs/>
                <w:color w:val="000000"/>
                <w:sz w:val="18"/>
                <w:szCs w:val="18"/>
              </w:rPr>
            </w:pPr>
            <w:r>
              <w:rPr>
                <w:rFonts w:ascii="Calibri" w:hAnsi="Calibri"/>
                <w:i/>
                <w:iCs/>
                <w:color w:val="000000"/>
                <w:sz w:val="18"/>
                <w:szCs w:val="18"/>
              </w:rPr>
              <w:t> </w:t>
            </w:r>
          </w:p>
        </w:tc>
        <w:tc>
          <w:tcPr>
            <w:tcW w:w="1361" w:type="dxa"/>
            <w:tcBorders>
              <w:bottom w:val="single" w:sz="4" w:space="0" w:color="auto"/>
            </w:tcBorders>
            <w:vAlign w:val="center"/>
          </w:tcPr>
          <w:p w:rsidR="00B74CE9" w:rsidRDefault="00B74CE9">
            <w:pPr>
              <w:jc w:val="center"/>
              <w:rPr>
                <w:rFonts w:ascii="Calibri" w:hAnsi="Calibri"/>
                <w:i/>
                <w:iCs/>
                <w:color w:val="000000"/>
                <w:sz w:val="18"/>
                <w:szCs w:val="18"/>
              </w:rPr>
            </w:pPr>
            <w:r>
              <w:rPr>
                <w:rFonts w:ascii="Calibri" w:hAnsi="Calibri"/>
                <w:i/>
                <w:iCs/>
                <w:color w:val="000000"/>
                <w:sz w:val="18"/>
                <w:szCs w:val="18"/>
              </w:rPr>
              <w:t>53,982</w:t>
            </w:r>
          </w:p>
        </w:tc>
        <w:tc>
          <w:tcPr>
            <w:tcW w:w="236" w:type="dxa"/>
            <w:tcBorders>
              <w:bottom w:val="single" w:sz="4" w:space="0" w:color="auto"/>
              <w:right w:val="single" w:sz="4" w:space="0" w:color="auto"/>
            </w:tcBorders>
            <w:vAlign w:val="center"/>
          </w:tcPr>
          <w:p w:rsidR="00B74CE9" w:rsidRPr="00ED0AE0" w:rsidRDefault="00B74CE9" w:rsidP="00CB3BD3">
            <w:pPr>
              <w:jc w:val="center"/>
              <w:rPr>
                <w:rFonts w:ascii="Calibri" w:hAnsi="Calibri"/>
                <w:i/>
                <w:color w:val="000000"/>
                <w:sz w:val="18"/>
              </w:rPr>
            </w:pPr>
          </w:p>
        </w:tc>
        <w:tc>
          <w:tcPr>
            <w:tcW w:w="236" w:type="dxa"/>
            <w:tcBorders>
              <w:left w:val="single" w:sz="4" w:space="0" w:color="auto"/>
              <w:bottom w:val="single" w:sz="4" w:space="0" w:color="auto"/>
            </w:tcBorders>
            <w:vAlign w:val="center"/>
          </w:tcPr>
          <w:p w:rsidR="00B74CE9" w:rsidRPr="00ED0AE0" w:rsidRDefault="00B74CE9" w:rsidP="00CB3BD3">
            <w:pPr>
              <w:jc w:val="center"/>
              <w:rPr>
                <w:rFonts w:ascii="Calibri" w:hAnsi="Calibri"/>
                <w:i/>
                <w:color w:val="000000"/>
                <w:sz w:val="18"/>
              </w:rPr>
            </w:pPr>
          </w:p>
        </w:tc>
        <w:tc>
          <w:tcPr>
            <w:tcW w:w="1361" w:type="dxa"/>
            <w:tcBorders>
              <w:bottom w:val="single" w:sz="4" w:space="0" w:color="auto"/>
            </w:tcBorders>
            <w:vAlign w:val="center"/>
          </w:tcPr>
          <w:p w:rsidR="00B74CE9" w:rsidRDefault="00B74CE9">
            <w:pPr>
              <w:jc w:val="center"/>
              <w:rPr>
                <w:rFonts w:ascii="Calibri" w:hAnsi="Calibri"/>
                <w:i/>
                <w:iCs/>
                <w:color w:val="000000"/>
                <w:sz w:val="18"/>
                <w:szCs w:val="18"/>
              </w:rPr>
            </w:pPr>
            <w:r>
              <w:rPr>
                <w:rFonts w:ascii="Calibri" w:hAnsi="Calibri"/>
                <w:i/>
                <w:iCs/>
                <w:color w:val="000000"/>
                <w:sz w:val="18"/>
                <w:szCs w:val="18"/>
              </w:rPr>
              <w:t>13,721</w:t>
            </w:r>
          </w:p>
        </w:tc>
        <w:tc>
          <w:tcPr>
            <w:tcW w:w="236" w:type="dxa"/>
            <w:tcBorders>
              <w:bottom w:val="single" w:sz="4" w:space="0" w:color="auto"/>
            </w:tcBorders>
            <w:vAlign w:val="center"/>
          </w:tcPr>
          <w:p w:rsidR="00B74CE9" w:rsidRDefault="00B74CE9">
            <w:pPr>
              <w:jc w:val="center"/>
              <w:rPr>
                <w:rFonts w:ascii="Calibri" w:hAnsi="Calibri"/>
                <w:i/>
                <w:iCs/>
                <w:color w:val="000000"/>
                <w:sz w:val="18"/>
                <w:szCs w:val="18"/>
              </w:rPr>
            </w:pPr>
            <w:r>
              <w:rPr>
                <w:rFonts w:ascii="Calibri" w:hAnsi="Calibri"/>
                <w:i/>
                <w:iCs/>
                <w:color w:val="000000"/>
                <w:sz w:val="18"/>
                <w:szCs w:val="18"/>
              </w:rPr>
              <w:t> </w:t>
            </w:r>
          </w:p>
        </w:tc>
        <w:tc>
          <w:tcPr>
            <w:tcW w:w="1361" w:type="dxa"/>
            <w:tcBorders>
              <w:bottom w:val="single" w:sz="4" w:space="0" w:color="auto"/>
            </w:tcBorders>
            <w:vAlign w:val="center"/>
          </w:tcPr>
          <w:p w:rsidR="00B74CE9" w:rsidRDefault="00B74CE9">
            <w:pPr>
              <w:jc w:val="center"/>
              <w:rPr>
                <w:rFonts w:ascii="Calibri" w:hAnsi="Calibri"/>
                <w:i/>
                <w:iCs/>
                <w:color w:val="000000"/>
                <w:sz w:val="18"/>
                <w:szCs w:val="18"/>
              </w:rPr>
            </w:pPr>
            <w:r>
              <w:rPr>
                <w:rFonts w:ascii="Calibri" w:hAnsi="Calibri"/>
                <w:i/>
                <w:iCs/>
                <w:color w:val="000000"/>
                <w:sz w:val="18"/>
                <w:szCs w:val="18"/>
              </w:rPr>
              <w:t>12,355</w:t>
            </w:r>
          </w:p>
        </w:tc>
        <w:tc>
          <w:tcPr>
            <w:tcW w:w="236" w:type="dxa"/>
            <w:tcBorders>
              <w:bottom w:val="single" w:sz="4" w:space="0" w:color="auto"/>
            </w:tcBorders>
            <w:vAlign w:val="center"/>
          </w:tcPr>
          <w:p w:rsidR="00B74CE9" w:rsidRDefault="00B74CE9">
            <w:pPr>
              <w:jc w:val="center"/>
              <w:rPr>
                <w:rFonts w:ascii="Calibri" w:hAnsi="Calibri"/>
                <w:i/>
                <w:iCs/>
                <w:color w:val="000000"/>
                <w:sz w:val="18"/>
                <w:szCs w:val="18"/>
              </w:rPr>
            </w:pPr>
            <w:r>
              <w:rPr>
                <w:rFonts w:ascii="Calibri" w:hAnsi="Calibri"/>
                <w:i/>
                <w:iCs/>
                <w:color w:val="000000"/>
                <w:sz w:val="18"/>
                <w:szCs w:val="18"/>
              </w:rPr>
              <w:t> </w:t>
            </w:r>
          </w:p>
        </w:tc>
        <w:tc>
          <w:tcPr>
            <w:tcW w:w="1361" w:type="dxa"/>
            <w:tcBorders>
              <w:bottom w:val="single" w:sz="4" w:space="0" w:color="auto"/>
            </w:tcBorders>
            <w:vAlign w:val="center"/>
          </w:tcPr>
          <w:p w:rsidR="00B74CE9" w:rsidRDefault="00B74CE9">
            <w:pPr>
              <w:jc w:val="center"/>
              <w:rPr>
                <w:rFonts w:ascii="Calibri" w:hAnsi="Calibri"/>
                <w:i/>
                <w:iCs/>
                <w:color w:val="000000"/>
                <w:sz w:val="18"/>
                <w:szCs w:val="18"/>
              </w:rPr>
            </w:pPr>
            <w:r>
              <w:rPr>
                <w:rFonts w:ascii="Calibri" w:hAnsi="Calibri"/>
                <w:i/>
                <w:iCs/>
                <w:color w:val="000000"/>
                <w:sz w:val="18"/>
                <w:szCs w:val="18"/>
              </w:rPr>
              <w:t>7,208</w:t>
            </w:r>
          </w:p>
        </w:tc>
        <w:tc>
          <w:tcPr>
            <w:tcW w:w="236" w:type="dxa"/>
            <w:tcBorders>
              <w:bottom w:val="single" w:sz="4" w:space="0" w:color="auto"/>
            </w:tcBorders>
            <w:vAlign w:val="center"/>
          </w:tcPr>
          <w:p w:rsidR="00B74CE9" w:rsidRDefault="00B74CE9">
            <w:pPr>
              <w:jc w:val="center"/>
              <w:rPr>
                <w:rFonts w:ascii="Calibri" w:hAnsi="Calibri"/>
                <w:i/>
                <w:iCs/>
                <w:color w:val="000000"/>
                <w:sz w:val="18"/>
                <w:szCs w:val="18"/>
              </w:rPr>
            </w:pPr>
            <w:r>
              <w:rPr>
                <w:rFonts w:ascii="Calibri" w:hAnsi="Calibri"/>
                <w:i/>
                <w:iCs/>
                <w:color w:val="000000"/>
                <w:sz w:val="18"/>
                <w:szCs w:val="18"/>
              </w:rPr>
              <w:t> </w:t>
            </w:r>
          </w:p>
        </w:tc>
        <w:tc>
          <w:tcPr>
            <w:tcW w:w="1365" w:type="dxa"/>
            <w:tcBorders>
              <w:bottom w:val="single" w:sz="4" w:space="0" w:color="auto"/>
            </w:tcBorders>
            <w:vAlign w:val="center"/>
          </w:tcPr>
          <w:p w:rsidR="00B74CE9" w:rsidRDefault="00B74CE9">
            <w:pPr>
              <w:jc w:val="center"/>
              <w:rPr>
                <w:rFonts w:ascii="Calibri" w:hAnsi="Calibri"/>
                <w:i/>
                <w:iCs/>
                <w:color w:val="000000"/>
                <w:sz w:val="18"/>
                <w:szCs w:val="18"/>
              </w:rPr>
            </w:pPr>
            <w:r>
              <w:rPr>
                <w:rFonts w:ascii="Calibri" w:hAnsi="Calibri"/>
                <w:i/>
                <w:iCs/>
                <w:color w:val="000000"/>
                <w:sz w:val="18"/>
                <w:szCs w:val="18"/>
              </w:rPr>
              <w:t>NA</w:t>
            </w:r>
          </w:p>
        </w:tc>
      </w:tr>
    </w:tbl>
    <w:p w:rsidR="00A10954" w:rsidRDefault="00A10954" w:rsidP="00A10954"/>
    <w:p w:rsidR="00621FF4" w:rsidRDefault="00621FF4" w:rsidP="00A10954"/>
    <w:p w:rsidR="00621FF4" w:rsidRDefault="00621FF4" w:rsidP="00A10954"/>
    <w:p w:rsidR="00A10954" w:rsidRDefault="00A10954" w:rsidP="00A10954"/>
    <w:p w:rsidR="00BE50DA" w:rsidRDefault="00BE50DA" w:rsidP="00BE50DA">
      <w:pPr>
        <w:rPr>
          <w:rFonts w:cs="TTdcr10"/>
          <w:sz w:val="20"/>
          <w:szCs w:val="20"/>
        </w:rPr>
      </w:pPr>
    </w:p>
    <w:tbl>
      <w:tblPr>
        <w:tblStyle w:val="Grigliatabella"/>
        <w:tblW w:w="136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18"/>
        <w:gridCol w:w="1018"/>
        <w:gridCol w:w="236"/>
        <w:gridCol w:w="1018"/>
        <w:gridCol w:w="236"/>
        <w:gridCol w:w="1019"/>
        <w:gridCol w:w="1019"/>
        <w:gridCol w:w="1020"/>
        <w:gridCol w:w="236"/>
        <w:gridCol w:w="236"/>
        <w:gridCol w:w="1020"/>
        <w:gridCol w:w="1020"/>
        <w:gridCol w:w="236"/>
        <w:gridCol w:w="1020"/>
        <w:gridCol w:w="236"/>
        <w:gridCol w:w="1020"/>
        <w:gridCol w:w="1020"/>
        <w:gridCol w:w="1020"/>
      </w:tblGrid>
      <w:tr w:rsidR="00BE50DA" w:rsidRPr="00AE3251" w:rsidTr="00060F0B">
        <w:trPr>
          <w:trHeight w:val="20"/>
          <w:jc w:val="center"/>
        </w:trPr>
        <w:tc>
          <w:tcPr>
            <w:tcW w:w="13648" w:type="dxa"/>
            <w:gridSpan w:val="18"/>
            <w:vAlign w:val="center"/>
          </w:tcPr>
          <w:p w:rsidR="00BE50DA" w:rsidRPr="00AE3251" w:rsidRDefault="00BE50DA" w:rsidP="00060F0B">
            <w:pPr>
              <w:jc w:val="center"/>
              <w:rPr>
                <w:b/>
                <w:sz w:val="18"/>
                <w:szCs w:val="20"/>
              </w:rPr>
            </w:pPr>
            <w:r w:rsidRPr="00AE3251">
              <w:rPr>
                <w:b/>
                <w:sz w:val="18"/>
                <w:szCs w:val="20"/>
              </w:rPr>
              <w:t xml:space="preserve">Table </w:t>
            </w:r>
            <w:r>
              <w:rPr>
                <w:b/>
                <w:sz w:val="18"/>
                <w:szCs w:val="20"/>
              </w:rPr>
              <w:t>VII</w:t>
            </w:r>
          </w:p>
          <w:p w:rsidR="00BE50DA" w:rsidRPr="00AE3251" w:rsidRDefault="00BE50DA" w:rsidP="00060F0B">
            <w:pPr>
              <w:jc w:val="center"/>
              <w:rPr>
                <w:sz w:val="18"/>
                <w:szCs w:val="20"/>
              </w:rPr>
            </w:pPr>
            <w:r w:rsidRPr="00AE3251">
              <w:rPr>
                <w:b/>
                <w:sz w:val="18"/>
                <w:szCs w:val="20"/>
              </w:rPr>
              <w:t>Descriptive statistics of asset portfolios by asset type and risk</w:t>
            </w:r>
          </w:p>
        </w:tc>
      </w:tr>
      <w:tr w:rsidR="00BE50DA" w:rsidRPr="00AE3251" w:rsidTr="00060F0B">
        <w:trPr>
          <w:trHeight w:val="20"/>
          <w:jc w:val="center"/>
        </w:trPr>
        <w:tc>
          <w:tcPr>
            <w:tcW w:w="13648" w:type="dxa"/>
            <w:gridSpan w:val="18"/>
            <w:tcBorders>
              <w:bottom w:val="single" w:sz="4" w:space="0" w:color="auto"/>
            </w:tcBorders>
            <w:vAlign w:val="center"/>
          </w:tcPr>
          <w:p w:rsidR="00BE50DA" w:rsidRPr="00AE3251" w:rsidRDefault="00BE50DA" w:rsidP="00060F0B">
            <w:pPr>
              <w:jc w:val="both"/>
              <w:rPr>
                <w:sz w:val="18"/>
                <w:szCs w:val="20"/>
              </w:rPr>
            </w:pPr>
            <w:r w:rsidRPr="00AE3251">
              <w:rPr>
                <w:sz w:val="18"/>
                <w:szCs w:val="20"/>
              </w:rPr>
              <w:t>This table presents the mean, standard deviation and correlations between four asset portfolios in each time period. LR_Stock and LR_Bond denote the low risk stock and bond portfolios that are comprised of the stock market and average sovereign bond returns, respectively, of Germany, Finland and Netherlands. Consequently, HR_Stock and HR_Bond refer to the high risk stock and bond portfolios that are comprised of the stock market and average sovereign bond returns, respectively, of Italy, Spain, Portugal, Ireland and Greece. The mean return and standard deviation measures have been annualised from daily estimates.</w:t>
            </w:r>
          </w:p>
        </w:tc>
      </w:tr>
      <w:tr w:rsidR="00BE50DA" w:rsidRPr="00AE3251" w:rsidTr="00060F0B">
        <w:trPr>
          <w:trHeight w:val="397"/>
          <w:jc w:val="center"/>
        </w:trPr>
        <w:tc>
          <w:tcPr>
            <w:tcW w:w="6584" w:type="dxa"/>
            <w:gridSpan w:val="8"/>
            <w:tcBorders>
              <w:top w:val="single" w:sz="4" w:space="0" w:color="auto"/>
              <w:bottom w:val="single" w:sz="4" w:space="0" w:color="auto"/>
            </w:tcBorders>
            <w:vAlign w:val="center"/>
          </w:tcPr>
          <w:p w:rsidR="00BE50DA" w:rsidRPr="00AE3251" w:rsidRDefault="00BE50DA" w:rsidP="00060F0B">
            <w:pPr>
              <w:jc w:val="center"/>
              <w:rPr>
                <w:sz w:val="18"/>
                <w:szCs w:val="20"/>
              </w:rPr>
            </w:pPr>
            <w:r w:rsidRPr="00AE3251">
              <w:rPr>
                <w:sz w:val="18"/>
                <w:szCs w:val="20"/>
              </w:rPr>
              <w:t>Panel A: Pre-crisis period</w:t>
            </w:r>
          </w:p>
        </w:tc>
        <w:tc>
          <w:tcPr>
            <w:tcW w:w="236" w:type="dxa"/>
            <w:tcBorders>
              <w:top w:val="single" w:sz="4" w:space="0" w:color="auto"/>
              <w:bottom w:val="single" w:sz="4" w:space="0" w:color="auto"/>
            </w:tcBorders>
            <w:vAlign w:val="center"/>
          </w:tcPr>
          <w:p w:rsidR="00BE50DA" w:rsidRPr="00AE3251" w:rsidRDefault="00BE50DA" w:rsidP="00060F0B">
            <w:pPr>
              <w:jc w:val="center"/>
              <w:rPr>
                <w:sz w:val="18"/>
                <w:szCs w:val="20"/>
              </w:rPr>
            </w:pPr>
          </w:p>
        </w:tc>
        <w:tc>
          <w:tcPr>
            <w:tcW w:w="236" w:type="dxa"/>
            <w:tcBorders>
              <w:top w:val="single" w:sz="4" w:space="0" w:color="auto"/>
              <w:bottom w:val="single" w:sz="4" w:space="0" w:color="auto"/>
            </w:tcBorders>
            <w:vAlign w:val="center"/>
          </w:tcPr>
          <w:p w:rsidR="00BE50DA" w:rsidRPr="00AE3251" w:rsidRDefault="00BE50DA" w:rsidP="00060F0B">
            <w:pPr>
              <w:jc w:val="center"/>
              <w:rPr>
                <w:sz w:val="18"/>
                <w:szCs w:val="20"/>
              </w:rPr>
            </w:pPr>
          </w:p>
        </w:tc>
        <w:tc>
          <w:tcPr>
            <w:tcW w:w="6592" w:type="dxa"/>
            <w:gridSpan w:val="8"/>
            <w:tcBorders>
              <w:top w:val="single" w:sz="4" w:space="0" w:color="auto"/>
              <w:bottom w:val="single" w:sz="4" w:space="0" w:color="auto"/>
            </w:tcBorders>
            <w:vAlign w:val="center"/>
          </w:tcPr>
          <w:p w:rsidR="00BE50DA" w:rsidRPr="00AE3251" w:rsidRDefault="00BE50DA" w:rsidP="00060F0B">
            <w:pPr>
              <w:jc w:val="center"/>
              <w:rPr>
                <w:sz w:val="18"/>
                <w:szCs w:val="20"/>
              </w:rPr>
            </w:pPr>
            <w:r w:rsidRPr="00AE3251">
              <w:rPr>
                <w:sz w:val="18"/>
                <w:szCs w:val="20"/>
              </w:rPr>
              <w:t>Panel B: Subprime crisis period</w:t>
            </w:r>
          </w:p>
        </w:tc>
      </w:tr>
      <w:tr w:rsidR="00BE50DA" w:rsidRPr="00AE3251" w:rsidTr="00060F0B">
        <w:trPr>
          <w:trHeight w:val="20"/>
          <w:jc w:val="center"/>
        </w:trPr>
        <w:tc>
          <w:tcPr>
            <w:tcW w:w="1018" w:type="dxa"/>
            <w:tcBorders>
              <w:top w:val="single" w:sz="4" w:space="0" w:color="auto"/>
            </w:tcBorders>
            <w:vAlign w:val="center"/>
          </w:tcPr>
          <w:p w:rsidR="00BE50DA" w:rsidRPr="00AE3251" w:rsidRDefault="00BE50DA" w:rsidP="00060F0B">
            <w:pPr>
              <w:jc w:val="center"/>
              <w:rPr>
                <w:sz w:val="18"/>
                <w:szCs w:val="20"/>
              </w:rPr>
            </w:pPr>
          </w:p>
        </w:tc>
        <w:tc>
          <w:tcPr>
            <w:tcW w:w="1018" w:type="dxa"/>
            <w:vMerge w:val="restart"/>
            <w:tcBorders>
              <w:top w:val="single" w:sz="4" w:space="0" w:color="auto"/>
              <w:bottom w:val="single" w:sz="4" w:space="0" w:color="auto"/>
            </w:tcBorders>
            <w:vAlign w:val="center"/>
          </w:tcPr>
          <w:p w:rsidR="00BE50DA" w:rsidRPr="00AE3251" w:rsidRDefault="00BE50DA" w:rsidP="00060F0B">
            <w:pPr>
              <w:jc w:val="center"/>
              <w:rPr>
                <w:sz w:val="18"/>
                <w:szCs w:val="20"/>
              </w:rPr>
            </w:pPr>
            <w:r w:rsidRPr="00AE3251">
              <w:rPr>
                <w:sz w:val="18"/>
                <w:szCs w:val="20"/>
              </w:rPr>
              <w:t>Mean</w:t>
            </w:r>
          </w:p>
          <w:p w:rsidR="00BE50DA" w:rsidRPr="00AE3251" w:rsidRDefault="00BE50DA" w:rsidP="00060F0B">
            <w:pPr>
              <w:jc w:val="center"/>
              <w:rPr>
                <w:rFonts w:ascii="Calibri" w:hAnsi="Calibri"/>
                <w:color w:val="000000"/>
                <w:sz w:val="18"/>
              </w:rPr>
            </w:pPr>
            <w:r w:rsidRPr="00AE3251">
              <w:rPr>
                <w:sz w:val="18"/>
                <w:szCs w:val="20"/>
              </w:rPr>
              <w:t>Return</w:t>
            </w:r>
          </w:p>
        </w:tc>
        <w:tc>
          <w:tcPr>
            <w:tcW w:w="236" w:type="dxa"/>
            <w:tcBorders>
              <w:top w:val="single" w:sz="4" w:space="0" w:color="auto"/>
            </w:tcBorders>
          </w:tcPr>
          <w:p w:rsidR="00BE50DA" w:rsidRPr="00AE3251" w:rsidRDefault="00BE50DA" w:rsidP="00060F0B">
            <w:pPr>
              <w:jc w:val="center"/>
              <w:rPr>
                <w:rFonts w:ascii="Calibri" w:hAnsi="Calibri"/>
                <w:color w:val="000000"/>
                <w:sz w:val="18"/>
              </w:rPr>
            </w:pPr>
          </w:p>
        </w:tc>
        <w:tc>
          <w:tcPr>
            <w:tcW w:w="1018" w:type="dxa"/>
            <w:vMerge w:val="restart"/>
            <w:tcBorders>
              <w:top w:val="single" w:sz="4" w:space="0" w:color="auto"/>
              <w:bottom w:val="single" w:sz="4" w:space="0" w:color="auto"/>
            </w:tcBorders>
            <w:vAlign w:val="center"/>
          </w:tcPr>
          <w:p w:rsidR="00BE50DA" w:rsidRPr="00AE3251" w:rsidRDefault="00BE50DA" w:rsidP="00060F0B">
            <w:pPr>
              <w:jc w:val="center"/>
              <w:rPr>
                <w:rFonts w:ascii="Calibri" w:hAnsi="Calibri"/>
                <w:color w:val="000000"/>
                <w:sz w:val="18"/>
              </w:rPr>
            </w:pPr>
            <w:r w:rsidRPr="00AE3251">
              <w:rPr>
                <w:sz w:val="18"/>
                <w:szCs w:val="20"/>
              </w:rPr>
              <w:t>Standard Deviation</w:t>
            </w:r>
          </w:p>
        </w:tc>
        <w:tc>
          <w:tcPr>
            <w:tcW w:w="236" w:type="dxa"/>
            <w:tcBorders>
              <w:top w:val="single" w:sz="4" w:space="0" w:color="auto"/>
            </w:tcBorders>
          </w:tcPr>
          <w:p w:rsidR="00BE50DA" w:rsidRPr="00AE3251" w:rsidRDefault="00BE50DA" w:rsidP="00060F0B">
            <w:pPr>
              <w:jc w:val="center"/>
              <w:rPr>
                <w:rFonts w:ascii="Calibri" w:hAnsi="Calibri"/>
                <w:color w:val="000000"/>
                <w:sz w:val="18"/>
              </w:rPr>
            </w:pPr>
          </w:p>
        </w:tc>
        <w:tc>
          <w:tcPr>
            <w:tcW w:w="3058" w:type="dxa"/>
            <w:gridSpan w:val="3"/>
            <w:tcBorders>
              <w:top w:val="single" w:sz="4" w:space="0" w:color="auto"/>
            </w:tcBorders>
            <w:vAlign w:val="center"/>
          </w:tcPr>
          <w:p w:rsidR="00BE50DA" w:rsidRPr="00AE3251" w:rsidRDefault="00BE50DA" w:rsidP="00060F0B">
            <w:pPr>
              <w:jc w:val="center"/>
              <w:rPr>
                <w:rFonts w:ascii="Calibri" w:hAnsi="Calibri"/>
                <w:color w:val="000000"/>
                <w:sz w:val="18"/>
              </w:rPr>
            </w:pPr>
            <w:r w:rsidRPr="00AE3251">
              <w:rPr>
                <w:sz w:val="18"/>
                <w:szCs w:val="20"/>
              </w:rPr>
              <w:t>Correlations</w:t>
            </w:r>
          </w:p>
        </w:tc>
        <w:tc>
          <w:tcPr>
            <w:tcW w:w="236" w:type="dxa"/>
            <w:tcBorders>
              <w:top w:val="single" w:sz="4" w:space="0" w:color="auto"/>
              <w:right w:val="single" w:sz="4" w:space="0" w:color="auto"/>
            </w:tcBorders>
          </w:tcPr>
          <w:p w:rsidR="00BE50DA" w:rsidRPr="00AE3251" w:rsidRDefault="00BE50DA" w:rsidP="00060F0B">
            <w:pPr>
              <w:jc w:val="center"/>
              <w:rPr>
                <w:sz w:val="18"/>
                <w:szCs w:val="20"/>
              </w:rPr>
            </w:pPr>
          </w:p>
        </w:tc>
        <w:tc>
          <w:tcPr>
            <w:tcW w:w="236" w:type="dxa"/>
            <w:tcBorders>
              <w:top w:val="single" w:sz="4" w:space="0" w:color="auto"/>
              <w:left w:val="single" w:sz="4" w:space="0" w:color="auto"/>
            </w:tcBorders>
          </w:tcPr>
          <w:p w:rsidR="00BE50DA" w:rsidRPr="00AE3251" w:rsidRDefault="00BE50DA" w:rsidP="00060F0B">
            <w:pPr>
              <w:jc w:val="center"/>
              <w:rPr>
                <w:sz w:val="18"/>
                <w:szCs w:val="20"/>
              </w:rPr>
            </w:pPr>
          </w:p>
        </w:tc>
        <w:tc>
          <w:tcPr>
            <w:tcW w:w="1020" w:type="dxa"/>
            <w:tcBorders>
              <w:top w:val="single" w:sz="4" w:space="0" w:color="auto"/>
            </w:tcBorders>
            <w:vAlign w:val="center"/>
          </w:tcPr>
          <w:p w:rsidR="00BE50DA" w:rsidRPr="00AE3251" w:rsidRDefault="00BE50DA" w:rsidP="00060F0B">
            <w:pPr>
              <w:jc w:val="center"/>
              <w:rPr>
                <w:sz w:val="18"/>
                <w:szCs w:val="20"/>
              </w:rPr>
            </w:pPr>
          </w:p>
        </w:tc>
        <w:tc>
          <w:tcPr>
            <w:tcW w:w="1020" w:type="dxa"/>
            <w:vMerge w:val="restart"/>
            <w:tcBorders>
              <w:top w:val="single" w:sz="4" w:space="0" w:color="auto"/>
              <w:bottom w:val="single" w:sz="4" w:space="0" w:color="auto"/>
            </w:tcBorders>
            <w:vAlign w:val="center"/>
          </w:tcPr>
          <w:p w:rsidR="00BE50DA" w:rsidRPr="00AE3251" w:rsidRDefault="00BE50DA" w:rsidP="00060F0B">
            <w:pPr>
              <w:jc w:val="center"/>
              <w:rPr>
                <w:sz w:val="18"/>
                <w:szCs w:val="20"/>
              </w:rPr>
            </w:pPr>
            <w:r w:rsidRPr="00AE3251">
              <w:rPr>
                <w:sz w:val="18"/>
                <w:szCs w:val="20"/>
              </w:rPr>
              <w:t>Mean</w:t>
            </w:r>
          </w:p>
          <w:p w:rsidR="00BE50DA" w:rsidRPr="00AE3251" w:rsidRDefault="00BE50DA" w:rsidP="00060F0B">
            <w:pPr>
              <w:jc w:val="center"/>
              <w:rPr>
                <w:rFonts w:ascii="Calibri" w:hAnsi="Calibri"/>
                <w:color w:val="000000"/>
                <w:sz w:val="18"/>
              </w:rPr>
            </w:pPr>
            <w:r w:rsidRPr="00AE3251">
              <w:rPr>
                <w:sz w:val="18"/>
                <w:szCs w:val="20"/>
              </w:rPr>
              <w:t>Return</w:t>
            </w:r>
          </w:p>
        </w:tc>
        <w:tc>
          <w:tcPr>
            <w:tcW w:w="236" w:type="dxa"/>
            <w:tcBorders>
              <w:top w:val="single" w:sz="4" w:space="0" w:color="auto"/>
            </w:tcBorders>
          </w:tcPr>
          <w:p w:rsidR="00BE50DA" w:rsidRPr="00AE3251" w:rsidRDefault="00BE50DA" w:rsidP="00060F0B">
            <w:pPr>
              <w:jc w:val="center"/>
              <w:rPr>
                <w:rFonts w:ascii="Calibri" w:hAnsi="Calibri"/>
                <w:color w:val="000000"/>
                <w:sz w:val="18"/>
              </w:rPr>
            </w:pPr>
          </w:p>
        </w:tc>
        <w:tc>
          <w:tcPr>
            <w:tcW w:w="1020" w:type="dxa"/>
            <w:vMerge w:val="restart"/>
            <w:tcBorders>
              <w:top w:val="single" w:sz="4" w:space="0" w:color="auto"/>
            </w:tcBorders>
            <w:vAlign w:val="center"/>
          </w:tcPr>
          <w:p w:rsidR="00BE50DA" w:rsidRPr="00AE3251" w:rsidRDefault="00BE50DA" w:rsidP="00060F0B">
            <w:pPr>
              <w:jc w:val="center"/>
              <w:rPr>
                <w:rFonts w:ascii="Calibri" w:hAnsi="Calibri"/>
                <w:color w:val="000000"/>
                <w:sz w:val="18"/>
              </w:rPr>
            </w:pPr>
            <w:r w:rsidRPr="00AE3251">
              <w:rPr>
                <w:sz w:val="18"/>
                <w:szCs w:val="20"/>
              </w:rPr>
              <w:t>Standard Deviation</w:t>
            </w:r>
          </w:p>
        </w:tc>
        <w:tc>
          <w:tcPr>
            <w:tcW w:w="236" w:type="dxa"/>
            <w:tcBorders>
              <w:top w:val="single" w:sz="4" w:space="0" w:color="auto"/>
            </w:tcBorders>
          </w:tcPr>
          <w:p w:rsidR="00BE50DA" w:rsidRPr="00AE3251" w:rsidRDefault="00BE50DA" w:rsidP="00060F0B">
            <w:pPr>
              <w:jc w:val="center"/>
              <w:rPr>
                <w:rFonts w:ascii="Calibri" w:hAnsi="Calibri"/>
                <w:color w:val="000000"/>
                <w:sz w:val="18"/>
              </w:rPr>
            </w:pPr>
          </w:p>
        </w:tc>
        <w:tc>
          <w:tcPr>
            <w:tcW w:w="3060" w:type="dxa"/>
            <w:gridSpan w:val="3"/>
            <w:tcBorders>
              <w:top w:val="single" w:sz="4" w:space="0" w:color="auto"/>
            </w:tcBorders>
            <w:vAlign w:val="center"/>
          </w:tcPr>
          <w:p w:rsidR="00BE50DA" w:rsidRPr="00AE3251" w:rsidRDefault="00BE50DA" w:rsidP="00060F0B">
            <w:pPr>
              <w:jc w:val="center"/>
              <w:rPr>
                <w:rFonts w:ascii="Calibri" w:hAnsi="Calibri"/>
                <w:color w:val="000000"/>
                <w:sz w:val="18"/>
              </w:rPr>
            </w:pPr>
            <w:r w:rsidRPr="00AE3251">
              <w:rPr>
                <w:sz w:val="18"/>
                <w:szCs w:val="20"/>
              </w:rPr>
              <w:t>Correlations</w:t>
            </w:r>
          </w:p>
        </w:tc>
      </w:tr>
      <w:tr w:rsidR="00BE50DA" w:rsidRPr="00AE3251" w:rsidTr="00060F0B">
        <w:trPr>
          <w:trHeight w:val="20"/>
          <w:jc w:val="center"/>
        </w:trPr>
        <w:tc>
          <w:tcPr>
            <w:tcW w:w="1018" w:type="dxa"/>
            <w:vAlign w:val="center"/>
          </w:tcPr>
          <w:p w:rsidR="00BE50DA" w:rsidRPr="00AE3251" w:rsidRDefault="00BE50DA" w:rsidP="00060F0B">
            <w:pPr>
              <w:jc w:val="center"/>
              <w:rPr>
                <w:sz w:val="18"/>
                <w:szCs w:val="20"/>
              </w:rPr>
            </w:pPr>
          </w:p>
        </w:tc>
        <w:tc>
          <w:tcPr>
            <w:tcW w:w="1018" w:type="dxa"/>
            <w:vMerge/>
            <w:tcBorders>
              <w:bottom w:val="single" w:sz="4" w:space="0" w:color="auto"/>
            </w:tcBorders>
            <w:vAlign w:val="center"/>
          </w:tcPr>
          <w:p w:rsidR="00BE50DA" w:rsidRPr="00AE3251" w:rsidRDefault="00BE50DA" w:rsidP="00060F0B">
            <w:pPr>
              <w:jc w:val="center"/>
              <w:rPr>
                <w:rFonts w:ascii="Calibri" w:hAnsi="Calibri"/>
                <w:color w:val="000000"/>
                <w:sz w:val="18"/>
              </w:rPr>
            </w:pPr>
          </w:p>
        </w:tc>
        <w:tc>
          <w:tcPr>
            <w:tcW w:w="236" w:type="dxa"/>
          </w:tcPr>
          <w:p w:rsidR="00BE50DA" w:rsidRPr="00AE3251" w:rsidRDefault="00BE50DA" w:rsidP="00060F0B">
            <w:pPr>
              <w:jc w:val="center"/>
              <w:rPr>
                <w:rFonts w:ascii="Calibri" w:hAnsi="Calibri"/>
                <w:color w:val="000000"/>
                <w:sz w:val="18"/>
              </w:rPr>
            </w:pPr>
          </w:p>
        </w:tc>
        <w:tc>
          <w:tcPr>
            <w:tcW w:w="1018" w:type="dxa"/>
            <w:vMerge/>
            <w:tcBorders>
              <w:bottom w:val="single" w:sz="4" w:space="0" w:color="auto"/>
            </w:tcBorders>
            <w:vAlign w:val="center"/>
          </w:tcPr>
          <w:p w:rsidR="00BE50DA" w:rsidRPr="00AE3251" w:rsidRDefault="00BE50DA" w:rsidP="00060F0B">
            <w:pPr>
              <w:jc w:val="center"/>
              <w:rPr>
                <w:rFonts w:ascii="Calibri" w:hAnsi="Calibri"/>
                <w:color w:val="000000"/>
                <w:sz w:val="18"/>
              </w:rPr>
            </w:pPr>
          </w:p>
        </w:tc>
        <w:tc>
          <w:tcPr>
            <w:tcW w:w="236" w:type="dxa"/>
          </w:tcPr>
          <w:p w:rsidR="00BE50DA" w:rsidRPr="00AE3251" w:rsidRDefault="00BE50DA" w:rsidP="00060F0B">
            <w:pPr>
              <w:jc w:val="center"/>
              <w:rPr>
                <w:rFonts w:ascii="Calibri" w:hAnsi="Calibri"/>
                <w:color w:val="000000"/>
                <w:sz w:val="18"/>
              </w:rPr>
            </w:pPr>
          </w:p>
        </w:tc>
        <w:tc>
          <w:tcPr>
            <w:tcW w:w="1019" w:type="dxa"/>
            <w:tcBorders>
              <w:bottom w:val="single" w:sz="4" w:space="0" w:color="auto"/>
            </w:tcBorders>
            <w:vAlign w:val="center"/>
          </w:tcPr>
          <w:p w:rsidR="00BE50DA" w:rsidRPr="00AE3251" w:rsidRDefault="00BE50DA" w:rsidP="00060F0B">
            <w:pPr>
              <w:jc w:val="center"/>
              <w:rPr>
                <w:sz w:val="18"/>
                <w:szCs w:val="20"/>
              </w:rPr>
            </w:pPr>
            <w:r w:rsidRPr="00AE3251">
              <w:rPr>
                <w:sz w:val="18"/>
                <w:szCs w:val="20"/>
              </w:rPr>
              <w:t>LR_Stock</w:t>
            </w:r>
          </w:p>
        </w:tc>
        <w:tc>
          <w:tcPr>
            <w:tcW w:w="1019" w:type="dxa"/>
            <w:tcBorders>
              <w:bottom w:val="single" w:sz="4" w:space="0" w:color="auto"/>
            </w:tcBorders>
            <w:vAlign w:val="center"/>
          </w:tcPr>
          <w:p w:rsidR="00BE50DA" w:rsidRPr="00AE3251" w:rsidRDefault="00BE50DA" w:rsidP="00060F0B">
            <w:pPr>
              <w:jc w:val="center"/>
              <w:rPr>
                <w:sz w:val="18"/>
                <w:szCs w:val="20"/>
              </w:rPr>
            </w:pPr>
            <w:r w:rsidRPr="00AE3251">
              <w:rPr>
                <w:sz w:val="18"/>
                <w:szCs w:val="20"/>
              </w:rPr>
              <w:t>HR_Stock</w:t>
            </w:r>
          </w:p>
        </w:tc>
        <w:tc>
          <w:tcPr>
            <w:tcW w:w="1020" w:type="dxa"/>
            <w:tcBorders>
              <w:bottom w:val="single" w:sz="4" w:space="0" w:color="auto"/>
            </w:tcBorders>
            <w:vAlign w:val="center"/>
          </w:tcPr>
          <w:p w:rsidR="00BE50DA" w:rsidRPr="00AE3251" w:rsidRDefault="00BE50DA" w:rsidP="00060F0B">
            <w:pPr>
              <w:jc w:val="center"/>
              <w:rPr>
                <w:sz w:val="18"/>
                <w:szCs w:val="20"/>
              </w:rPr>
            </w:pPr>
            <w:r w:rsidRPr="00AE3251">
              <w:rPr>
                <w:sz w:val="18"/>
                <w:szCs w:val="20"/>
              </w:rPr>
              <w:t>LR_Bond</w:t>
            </w:r>
          </w:p>
        </w:tc>
        <w:tc>
          <w:tcPr>
            <w:tcW w:w="236" w:type="dxa"/>
            <w:tcBorders>
              <w:right w:val="single" w:sz="4" w:space="0" w:color="auto"/>
            </w:tcBorders>
          </w:tcPr>
          <w:p w:rsidR="00BE50DA" w:rsidRPr="00AE3251" w:rsidRDefault="00BE50DA" w:rsidP="00060F0B">
            <w:pPr>
              <w:jc w:val="center"/>
              <w:rPr>
                <w:sz w:val="18"/>
                <w:szCs w:val="20"/>
              </w:rPr>
            </w:pPr>
          </w:p>
        </w:tc>
        <w:tc>
          <w:tcPr>
            <w:tcW w:w="236" w:type="dxa"/>
            <w:tcBorders>
              <w:left w:val="single" w:sz="4" w:space="0" w:color="auto"/>
            </w:tcBorders>
          </w:tcPr>
          <w:p w:rsidR="00BE50DA" w:rsidRPr="00AE3251" w:rsidRDefault="00BE50DA" w:rsidP="00060F0B">
            <w:pPr>
              <w:jc w:val="center"/>
              <w:rPr>
                <w:sz w:val="18"/>
                <w:szCs w:val="20"/>
              </w:rPr>
            </w:pPr>
          </w:p>
        </w:tc>
        <w:tc>
          <w:tcPr>
            <w:tcW w:w="1020" w:type="dxa"/>
            <w:vAlign w:val="center"/>
          </w:tcPr>
          <w:p w:rsidR="00BE50DA" w:rsidRPr="00AE3251" w:rsidRDefault="00BE50DA" w:rsidP="00060F0B">
            <w:pPr>
              <w:jc w:val="center"/>
              <w:rPr>
                <w:sz w:val="18"/>
                <w:szCs w:val="20"/>
              </w:rPr>
            </w:pPr>
          </w:p>
        </w:tc>
        <w:tc>
          <w:tcPr>
            <w:tcW w:w="1020" w:type="dxa"/>
            <w:vMerge/>
            <w:tcBorders>
              <w:bottom w:val="single" w:sz="4" w:space="0" w:color="auto"/>
            </w:tcBorders>
            <w:vAlign w:val="center"/>
          </w:tcPr>
          <w:p w:rsidR="00BE50DA" w:rsidRPr="00AE3251" w:rsidRDefault="00BE50DA" w:rsidP="00060F0B">
            <w:pPr>
              <w:jc w:val="center"/>
              <w:rPr>
                <w:rFonts w:ascii="Calibri" w:hAnsi="Calibri"/>
                <w:color w:val="000000"/>
                <w:sz w:val="18"/>
              </w:rPr>
            </w:pPr>
          </w:p>
        </w:tc>
        <w:tc>
          <w:tcPr>
            <w:tcW w:w="236" w:type="dxa"/>
          </w:tcPr>
          <w:p w:rsidR="00BE50DA" w:rsidRPr="00AE3251" w:rsidRDefault="00BE50DA" w:rsidP="00060F0B">
            <w:pPr>
              <w:jc w:val="center"/>
              <w:rPr>
                <w:rFonts w:ascii="Calibri" w:hAnsi="Calibri"/>
                <w:color w:val="000000"/>
                <w:sz w:val="18"/>
              </w:rPr>
            </w:pPr>
          </w:p>
        </w:tc>
        <w:tc>
          <w:tcPr>
            <w:tcW w:w="1020" w:type="dxa"/>
            <w:vMerge/>
            <w:vAlign w:val="center"/>
          </w:tcPr>
          <w:p w:rsidR="00BE50DA" w:rsidRPr="00AE3251" w:rsidRDefault="00BE50DA" w:rsidP="00060F0B">
            <w:pPr>
              <w:jc w:val="center"/>
              <w:rPr>
                <w:rFonts w:ascii="Calibri" w:hAnsi="Calibri"/>
                <w:color w:val="000000"/>
                <w:sz w:val="18"/>
              </w:rPr>
            </w:pPr>
          </w:p>
        </w:tc>
        <w:tc>
          <w:tcPr>
            <w:tcW w:w="236" w:type="dxa"/>
          </w:tcPr>
          <w:p w:rsidR="00BE50DA" w:rsidRPr="00AE3251" w:rsidRDefault="00BE50DA" w:rsidP="00060F0B">
            <w:pPr>
              <w:jc w:val="center"/>
              <w:rPr>
                <w:rFonts w:ascii="Calibri" w:hAnsi="Calibri"/>
                <w:color w:val="000000"/>
                <w:sz w:val="18"/>
              </w:rPr>
            </w:pPr>
          </w:p>
        </w:tc>
        <w:tc>
          <w:tcPr>
            <w:tcW w:w="1020" w:type="dxa"/>
            <w:tcBorders>
              <w:bottom w:val="single" w:sz="4" w:space="0" w:color="auto"/>
            </w:tcBorders>
            <w:vAlign w:val="center"/>
          </w:tcPr>
          <w:p w:rsidR="00BE50DA" w:rsidRPr="00AE3251" w:rsidRDefault="00BE50DA" w:rsidP="00060F0B">
            <w:pPr>
              <w:jc w:val="center"/>
              <w:rPr>
                <w:sz w:val="18"/>
                <w:szCs w:val="20"/>
              </w:rPr>
            </w:pPr>
            <w:r w:rsidRPr="00AE3251">
              <w:rPr>
                <w:sz w:val="18"/>
                <w:szCs w:val="20"/>
              </w:rPr>
              <w:t>LR_Stock</w:t>
            </w:r>
          </w:p>
        </w:tc>
        <w:tc>
          <w:tcPr>
            <w:tcW w:w="1020" w:type="dxa"/>
            <w:tcBorders>
              <w:bottom w:val="single" w:sz="4" w:space="0" w:color="auto"/>
            </w:tcBorders>
            <w:vAlign w:val="center"/>
          </w:tcPr>
          <w:p w:rsidR="00BE50DA" w:rsidRPr="00AE3251" w:rsidRDefault="00BE50DA" w:rsidP="00060F0B">
            <w:pPr>
              <w:jc w:val="center"/>
              <w:rPr>
                <w:sz w:val="18"/>
                <w:szCs w:val="20"/>
              </w:rPr>
            </w:pPr>
            <w:r w:rsidRPr="00AE3251">
              <w:rPr>
                <w:sz w:val="18"/>
                <w:szCs w:val="20"/>
              </w:rPr>
              <w:t>HR_Stock</w:t>
            </w:r>
          </w:p>
        </w:tc>
        <w:tc>
          <w:tcPr>
            <w:tcW w:w="1020" w:type="dxa"/>
            <w:tcBorders>
              <w:bottom w:val="single" w:sz="4" w:space="0" w:color="auto"/>
            </w:tcBorders>
            <w:vAlign w:val="center"/>
          </w:tcPr>
          <w:p w:rsidR="00BE50DA" w:rsidRPr="00AE3251" w:rsidRDefault="00BE50DA" w:rsidP="00060F0B">
            <w:pPr>
              <w:jc w:val="center"/>
              <w:rPr>
                <w:sz w:val="18"/>
                <w:szCs w:val="20"/>
              </w:rPr>
            </w:pPr>
            <w:r w:rsidRPr="00AE3251">
              <w:rPr>
                <w:sz w:val="18"/>
                <w:szCs w:val="20"/>
              </w:rPr>
              <w:t>LR_Bond</w:t>
            </w:r>
          </w:p>
        </w:tc>
      </w:tr>
      <w:tr w:rsidR="00BE50DA" w:rsidRPr="00AE3251" w:rsidTr="00060F0B">
        <w:trPr>
          <w:trHeight w:val="20"/>
          <w:jc w:val="center"/>
        </w:trPr>
        <w:tc>
          <w:tcPr>
            <w:tcW w:w="1018" w:type="dxa"/>
            <w:vAlign w:val="center"/>
          </w:tcPr>
          <w:p w:rsidR="00BE50DA" w:rsidRPr="00AE3251" w:rsidRDefault="00BE50DA" w:rsidP="00060F0B">
            <w:pPr>
              <w:jc w:val="center"/>
              <w:rPr>
                <w:sz w:val="18"/>
                <w:szCs w:val="20"/>
              </w:rPr>
            </w:pPr>
            <w:r w:rsidRPr="00AE3251">
              <w:rPr>
                <w:sz w:val="18"/>
                <w:szCs w:val="20"/>
              </w:rPr>
              <w:t>LR_Stock</w:t>
            </w:r>
          </w:p>
        </w:tc>
        <w:tc>
          <w:tcPr>
            <w:tcW w:w="1018" w:type="dxa"/>
            <w:tcBorders>
              <w:top w:val="single" w:sz="4" w:space="0" w:color="auto"/>
            </w:tcBorders>
            <w:vAlign w:val="center"/>
          </w:tcPr>
          <w:p w:rsidR="00BE50DA" w:rsidRPr="00AE3251" w:rsidRDefault="00BE50DA" w:rsidP="00060F0B">
            <w:pPr>
              <w:jc w:val="center"/>
              <w:rPr>
                <w:rFonts w:ascii="Calibri" w:hAnsi="Calibri"/>
                <w:color w:val="000000"/>
                <w:sz w:val="18"/>
              </w:rPr>
            </w:pPr>
            <w:r w:rsidRPr="00AE3251">
              <w:rPr>
                <w:rFonts w:ascii="Calibri" w:hAnsi="Calibri"/>
                <w:color w:val="000000"/>
                <w:sz w:val="18"/>
              </w:rPr>
              <w:t>17.9%</w:t>
            </w:r>
          </w:p>
        </w:tc>
        <w:tc>
          <w:tcPr>
            <w:tcW w:w="236" w:type="dxa"/>
          </w:tcPr>
          <w:p w:rsidR="00BE50DA" w:rsidRPr="00AE3251" w:rsidRDefault="00BE50DA" w:rsidP="00060F0B">
            <w:pPr>
              <w:jc w:val="center"/>
              <w:rPr>
                <w:rFonts w:ascii="Calibri" w:hAnsi="Calibri"/>
                <w:color w:val="000000"/>
                <w:sz w:val="18"/>
              </w:rPr>
            </w:pPr>
          </w:p>
        </w:tc>
        <w:tc>
          <w:tcPr>
            <w:tcW w:w="1018" w:type="dxa"/>
            <w:tcBorders>
              <w:top w:val="single" w:sz="4" w:space="0" w:color="auto"/>
            </w:tcBorders>
            <w:vAlign w:val="center"/>
          </w:tcPr>
          <w:p w:rsidR="00BE50DA" w:rsidRPr="00AE3251" w:rsidRDefault="00BE50DA" w:rsidP="00060F0B">
            <w:pPr>
              <w:jc w:val="center"/>
              <w:rPr>
                <w:rFonts w:ascii="Calibri" w:hAnsi="Calibri"/>
                <w:color w:val="000000"/>
                <w:sz w:val="18"/>
              </w:rPr>
            </w:pPr>
            <w:r w:rsidRPr="00AE3251">
              <w:rPr>
                <w:rFonts w:ascii="Calibri" w:hAnsi="Calibri"/>
                <w:color w:val="000000"/>
                <w:sz w:val="18"/>
              </w:rPr>
              <w:t>14.5%</w:t>
            </w:r>
          </w:p>
        </w:tc>
        <w:tc>
          <w:tcPr>
            <w:tcW w:w="236" w:type="dxa"/>
          </w:tcPr>
          <w:p w:rsidR="00BE50DA" w:rsidRPr="00AE3251" w:rsidRDefault="00BE50DA" w:rsidP="00060F0B">
            <w:pPr>
              <w:jc w:val="center"/>
              <w:rPr>
                <w:rFonts w:ascii="Calibri" w:hAnsi="Calibri"/>
                <w:color w:val="000000"/>
                <w:sz w:val="18"/>
              </w:rPr>
            </w:pPr>
          </w:p>
        </w:tc>
        <w:tc>
          <w:tcPr>
            <w:tcW w:w="1019" w:type="dxa"/>
            <w:tcBorders>
              <w:top w:val="single" w:sz="4" w:space="0" w:color="auto"/>
            </w:tcBorders>
            <w:vAlign w:val="center"/>
          </w:tcPr>
          <w:p w:rsidR="00BE50DA" w:rsidRPr="00AE3251" w:rsidRDefault="00BE50DA" w:rsidP="00060F0B">
            <w:pPr>
              <w:jc w:val="center"/>
              <w:rPr>
                <w:rFonts w:ascii="Calibri" w:hAnsi="Calibri"/>
                <w:color w:val="000000"/>
                <w:sz w:val="18"/>
              </w:rPr>
            </w:pPr>
          </w:p>
        </w:tc>
        <w:tc>
          <w:tcPr>
            <w:tcW w:w="1019" w:type="dxa"/>
            <w:tcBorders>
              <w:top w:val="single" w:sz="4" w:space="0" w:color="auto"/>
            </w:tcBorders>
            <w:vAlign w:val="center"/>
          </w:tcPr>
          <w:p w:rsidR="00BE50DA" w:rsidRPr="00AE3251" w:rsidRDefault="00BE50DA" w:rsidP="00060F0B">
            <w:pPr>
              <w:jc w:val="center"/>
              <w:rPr>
                <w:rFonts w:ascii="Calibri" w:hAnsi="Calibri"/>
                <w:color w:val="000000"/>
                <w:sz w:val="18"/>
              </w:rPr>
            </w:pPr>
          </w:p>
        </w:tc>
        <w:tc>
          <w:tcPr>
            <w:tcW w:w="1020" w:type="dxa"/>
            <w:tcBorders>
              <w:top w:val="single" w:sz="4" w:space="0" w:color="auto"/>
            </w:tcBorders>
            <w:vAlign w:val="center"/>
          </w:tcPr>
          <w:p w:rsidR="00BE50DA" w:rsidRPr="00AE3251" w:rsidRDefault="00BE50DA" w:rsidP="00060F0B">
            <w:pPr>
              <w:jc w:val="center"/>
              <w:rPr>
                <w:rFonts w:ascii="Calibri" w:hAnsi="Calibri"/>
                <w:color w:val="000000"/>
                <w:sz w:val="18"/>
              </w:rPr>
            </w:pPr>
          </w:p>
        </w:tc>
        <w:tc>
          <w:tcPr>
            <w:tcW w:w="236" w:type="dxa"/>
            <w:tcBorders>
              <w:right w:val="single" w:sz="4" w:space="0" w:color="auto"/>
            </w:tcBorders>
          </w:tcPr>
          <w:p w:rsidR="00BE50DA" w:rsidRPr="00AE3251" w:rsidRDefault="00BE50DA" w:rsidP="00060F0B">
            <w:pPr>
              <w:jc w:val="center"/>
              <w:rPr>
                <w:sz w:val="18"/>
                <w:szCs w:val="20"/>
              </w:rPr>
            </w:pPr>
          </w:p>
        </w:tc>
        <w:tc>
          <w:tcPr>
            <w:tcW w:w="236" w:type="dxa"/>
            <w:tcBorders>
              <w:left w:val="single" w:sz="4" w:space="0" w:color="auto"/>
            </w:tcBorders>
          </w:tcPr>
          <w:p w:rsidR="00BE50DA" w:rsidRPr="00AE3251" w:rsidRDefault="00BE50DA" w:rsidP="00060F0B">
            <w:pPr>
              <w:jc w:val="center"/>
              <w:rPr>
                <w:sz w:val="18"/>
                <w:szCs w:val="20"/>
              </w:rPr>
            </w:pPr>
          </w:p>
        </w:tc>
        <w:tc>
          <w:tcPr>
            <w:tcW w:w="1020" w:type="dxa"/>
            <w:vAlign w:val="center"/>
          </w:tcPr>
          <w:p w:rsidR="00BE50DA" w:rsidRPr="00AE3251" w:rsidRDefault="00BE50DA" w:rsidP="00060F0B">
            <w:pPr>
              <w:jc w:val="center"/>
              <w:rPr>
                <w:sz w:val="18"/>
                <w:szCs w:val="20"/>
              </w:rPr>
            </w:pPr>
            <w:r w:rsidRPr="00AE3251">
              <w:rPr>
                <w:sz w:val="18"/>
                <w:szCs w:val="20"/>
              </w:rPr>
              <w:t>LR_Stock</w:t>
            </w:r>
          </w:p>
        </w:tc>
        <w:tc>
          <w:tcPr>
            <w:tcW w:w="1020" w:type="dxa"/>
            <w:tcBorders>
              <w:top w:val="single" w:sz="4" w:space="0" w:color="auto"/>
            </w:tcBorders>
            <w:vAlign w:val="center"/>
          </w:tcPr>
          <w:p w:rsidR="00BE50DA" w:rsidRPr="00AE3251" w:rsidRDefault="00BE50DA" w:rsidP="00060F0B">
            <w:pPr>
              <w:jc w:val="center"/>
              <w:rPr>
                <w:rFonts w:ascii="Calibri" w:hAnsi="Calibri"/>
                <w:color w:val="000000"/>
                <w:sz w:val="18"/>
              </w:rPr>
            </w:pPr>
            <w:r w:rsidRPr="00AE3251">
              <w:rPr>
                <w:rFonts w:ascii="Calibri" w:hAnsi="Calibri"/>
                <w:color w:val="000000"/>
                <w:sz w:val="18"/>
              </w:rPr>
              <w:t>-14.2%</w:t>
            </w:r>
          </w:p>
        </w:tc>
        <w:tc>
          <w:tcPr>
            <w:tcW w:w="236" w:type="dxa"/>
          </w:tcPr>
          <w:p w:rsidR="00BE50DA" w:rsidRPr="00AE3251" w:rsidRDefault="00BE50DA" w:rsidP="00060F0B">
            <w:pPr>
              <w:jc w:val="center"/>
              <w:rPr>
                <w:rFonts w:ascii="Calibri" w:hAnsi="Calibri"/>
                <w:color w:val="000000"/>
                <w:sz w:val="18"/>
              </w:rPr>
            </w:pPr>
          </w:p>
        </w:tc>
        <w:tc>
          <w:tcPr>
            <w:tcW w:w="1020" w:type="dxa"/>
            <w:tcBorders>
              <w:top w:val="single" w:sz="4" w:space="0" w:color="auto"/>
            </w:tcBorders>
            <w:vAlign w:val="center"/>
          </w:tcPr>
          <w:p w:rsidR="00BE50DA" w:rsidRPr="00AE3251" w:rsidRDefault="00BE50DA" w:rsidP="00060F0B">
            <w:pPr>
              <w:jc w:val="center"/>
              <w:rPr>
                <w:rFonts w:ascii="Calibri" w:hAnsi="Calibri"/>
                <w:color w:val="000000"/>
                <w:sz w:val="18"/>
              </w:rPr>
            </w:pPr>
            <w:r w:rsidRPr="00AE3251">
              <w:rPr>
                <w:rFonts w:ascii="Calibri" w:hAnsi="Calibri"/>
                <w:color w:val="000000"/>
                <w:sz w:val="18"/>
              </w:rPr>
              <w:t>36.8%</w:t>
            </w:r>
          </w:p>
        </w:tc>
        <w:tc>
          <w:tcPr>
            <w:tcW w:w="236" w:type="dxa"/>
          </w:tcPr>
          <w:p w:rsidR="00BE50DA" w:rsidRPr="00AE3251" w:rsidRDefault="00BE50DA" w:rsidP="00060F0B">
            <w:pPr>
              <w:jc w:val="center"/>
              <w:rPr>
                <w:rFonts w:ascii="Calibri" w:hAnsi="Calibri"/>
                <w:color w:val="000000"/>
                <w:sz w:val="18"/>
              </w:rPr>
            </w:pPr>
          </w:p>
        </w:tc>
        <w:tc>
          <w:tcPr>
            <w:tcW w:w="1020" w:type="dxa"/>
            <w:tcBorders>
              <w:top w:val="single" w:sz="4" w:space="0" w:color="auto"/>
            </w:tcBorders>
            <w:vAlign w:val="center"/>
          </w:tcPr>
          <w:p w:rsidR="00BE50DA" w:rsidRPr="00AE3251" w:rsidRDefault="00BE50DA" w:rsidP="00060F0B">
            <w:pPr>
              <w:jc w:val="center"/>
              <w:rPr>
                <w:rFonts w:ascii="Calibri" w:hAnsi="Calibri"/>
                <w:color w:val="000000"/>
                <w:sz w:val="18"/>
              </w:rPr>
            </w:pPr>
          </w:p>
        </w:tc>
        <w:tc>
          <w:tcPr>
            <w:tcW w:w="1020" w:type="dxa"/>
            <w:tcBorders>
              <w:top w:val="single" w:sz="4" w:space="0" w:color="auto"/>
            </w:tcBorders>
            <w:vAlign w:val="center"/>
          </w:tcPr>
          <w:p w:rsidR="00BE50DA" w:rsidRPr="00AE3251" w:rsidRDefault="00BE50DA" w:rsidP="00060F0B">
            <w:pPr>
              <w:jc w:val="center"/>
              <w:rPr>
                <w:rFonts w:ascii="Calibri" w:hAnsi="Calibri"/>
                <w:color w:val="000000"/>
                <w:sz w:val="18"/>
              </w:rPr>
            </w:pPr>
          </w:p>
        </w:tc>
        <w:tc>
          <w:tcPr>
            <w:tcW w:w="1020" w:type="dxa"/>
            <w:tcBorders>
              <w:top w:val="single" w:sz="4" w:space="0" w:color="auto"/>
            </w:tcBorders>
            <w:vAlign w:val="center"/>
          </w:tcPr>
          <w:p w:rsidR="00BE50DA" w:rsidRPr="00AE3251" w:rsidRDefault="00BE50DA" w:rsidP="00060F0B">
            <w:pPr>
              <w:jc w:val="center"/>
              <w:rPr>
                <w:rFonts w:ascii="Calibri" w:hAnsi="Calibri"/>
                <w:color w:val="000000"/>
                <w:sz w:val="18"/>
              </w:rPr>
            </w:pPr>
          </w:p>
        </w:tc>
      </w:tr>
      <w:tr w:rsidR="00BE50DA" w:rsidRPr="00AE3251" w:rsidTr="00060F0B">
        <w:trPr>
          <w:trHeight w:val="20"/>
          <w:jc w:val="center"/>
        </w:trPr>
        <w:tc>
          <w:tcPr>
            <w:tcW w:w="1018" w:type="dxa"/>
            <w:vAlign w:val="center"/>
          </w:tcPr>
          <w:p w:rsidR="00BE50DA" w:rsidRPr="00AE3251" w:rsidRDefault="00BE50DA" w:rsidP="00060F0B">
            <w:pPr>
              <w:jc w:val="center"/>
              <w:rPr>
                <w:sz w:val="18"/>
                <w:szCs w:val="20"/>
              </w:rPr>
            </w:pPr>
            <w:r w:rsidRPr="00AE3251">
              <w:rPr>
                <w:sz w:val="18"/>
                <w:szCs w:val="20"/>
              </w:rPr>
              <w:t>HR_Stock</w:t>
            </w:r>
          </w:p>
        </w:tc>
        <w:tc>
          <w:tcPr>
            <w:tcW w:w="1018" w:type="dxa"/>
            <w:vAlign w:val="center"/>
          </w:tcPr>
          <w:p w:rsidR="00BE50DA" w:rsidRPr="00AE3251" w:rsidRDefault="00BE50DA" w:rsidP="00060F0B">
            <w:pPr>
              <w:jc w:val="center"/>
              <w:rPr>
                <w:rFonts w:ascii="Calibri" w:hAnsi="Calibri"/>
                <w:color w:val="000000"/>
                <w:sz w:val="18"/>
              </w:rPr>
            </w:pPr>
            <w:r w:rsidRPr="00AE3251">
              <w:rPr>
                <w:rFonts w:ascii="Calibri" w:hAnsi="Calibri"/>
                <w:color w:val="000000"/>
                <w:sz w:val="18"/>
              </w:rPr>
              <w:t>16.8%</w:t>
            </w:r>
          </w:p>
        </w:tc>
        <w:tc>
          <w:tcPr>
            <w:tcW w:w="236" w:type="dxa"/>
          </w:tcPr>
          <w:p w:rsidR="00BE50DA" w:rsidRPr="00AE3251" w:rsidRDefault="00BE50DA" w:rsidP="00060F0B">
            <w:pPr>
              <w:jc w:val="center"/>
              <w:rPr>
                <w:rFonts w:ascii="Calibri" w:hAnsi="Calibri"/>
                <w:color w:val="000000"/>
                <w:sz w:val="18"/>
              </w:rPr>
            </w:pPr>
          </w:p>
        </w:tc>
        <w:tc>
          <w:tcPr>
            <w:tcW w:w="1018" w:type="dxa"/>
            <w:vAlign w:val="center"/>
          </w:tcPr>
          <w:p w:rsidR="00BE50DA" w:rsidRPr="00AE3251" w:rsidRDefault="00BE50DA" w:rsidP="00060F0B">
            <w:pPr>
              <w:jc w:val="center"/>
              <w:rPr>
                <w:rFonts w:ascii="Calibri" w:hAnsi="Calibri"/>
                <w:color w:val="000000"/>
                <w:sz w:val="18"/>
              </w:rPr>
            </w:pPr>
            <w:r w:rsidRPr="00AE3251">
              <w:rPr>
                <w:rFonts w:ascii="Calibri" w:hAnsi="Calibri"/>
                <w:color w:val="000000"/>
                <w:sz w:val="18"/>
              </w:rPr>
              <w:t>11.8%</w:t>
            </w:r>
          </w:p>
        </w:tc>
        <w:tc>
          <w:tcPr>
            <w:tcW w:w="236" w:type="dxa"/>
          </w:tcPr>
          <w:p w:rsidR="00BE50DA" w:rsidRPr="00AE3251" w:rsidRDefault="00BE50DA" w:rsidP="00060F0B">
            <w:pPr>
              <w:jc w:val="center"/>
              <w:rPr>
                <w:rFonts w:ascii="Calibri" w:hAnsi="Calibri"/>
                <w:color w:val="000000"/>
                <w:sz w:val="18"/>
              </w:rPr>
            </w:pPr>
          </w:p>
        </w:tc>
        <w:tc>
          <w:tcPr>
            <w:tcW w:w="1019" w:type="dxa"/>
            <w:vAlign w:val="center"/>
          </w:tcPr>
          <w:p w:rsidR="00BE50DA" w:rsidRPr="00AE3251" w:rsidRDefault="00BE50DA" w:rsidP="00060F0B">
            <w:pPr>
              <w:jc w:val="center"/>
              <w:rPr>
                <w:rFonts w:ascii="Calibri" w:hAnsi="Calibri"/>
                <w:color w:val="000000"/>
                <w:sz w:val="18"/>
              </w:rPr>
            </w:pPr>
            <w:r w:rsidRPr="00AE3251">
              <w:rPr>
                <w:rFonts w:ascii="Calibri" w:hAnsi="Calibri"/>
                <w:color w:val="548DD4" w:themeColor="text2" w:themeTint="99"/>
                <w:sz w:val="18"/>
              </w:rPr>
              <w:t>88.3%</w:t>
            </w:r>
          </w:p>
        </w:tc>
        <w:tc>
          <w:tcPr>
            <w:tcW w:w="1019" w:type="dxa"/>
            <w:vAlign w:val="center"/>
          </w:tcPr>
          <w:p w:rsidR="00BE50DA" w:rsidRPr="00AE3251" w:rsidRDefault="00BE50DA" w:rsidP="00060F0B">
            <w:pPr>
              <w:jc w:val="center"/>
              <w:rPr>
                <w:rFonts w:ascii="Calibri" w:hAnsi="Calibri"/>
                <w:color w:val="000000"/>
                <w:sz w:val="18"/>
              </w:rPr>
            </w:pPr>
          </w:p>
        </w:tc>
        <w:tc>
          <w:tcPr>
            <w:tcW w:w="1020" w:type="dxa"/>
            <w:vAlign w:val="center"/>
          </w:tcPr>
          <w:p w:rsidR="00BE50DA" w:rsidRPr="00AE3251" w:rsidRDefault="00BE50DA" w:rsidP="00060F0B">
            <w:pPr>
              <w:jc w:val="center"/>
              <w:rPr>
                <w:rFonts w:ascii="Calibri" w:hAnsi="Calibri"/>
                <w:color w:val="000000"/>
                <w:sz w:val="18"/>
              </w:rPr>
            </w:pPr>
          </w:p>
        </w:tc>
        <w:tc>
          <w:tcPr>
            <w:tcW w:w="236" w:type="dxa"/>
            <w:tcBorders>
              <w:right w:val="single" w:sz="4" w:space="0" w:color="auto"/>
            </w:tcBorders>
          </w:tcPr>
          <w:p w:rsidR="00BE50DA" w:rsidRPr="00AE3251" w:rsidRDefault="00BE50DA" w:rsidP="00060F0B">
            <w:pPr>
              <w:jc w:val="center"/>
              <w:rPr>
                <w:sz w:val="18"/>
                <w:szCs w:val="20"/>
              </w:rPr>
            </w:pPr>
          </w:p>
        </w:tc>
        <w:tc>
          <w:tcPr>
            <w:tcW w:w="236" w:type="dxa"/>
            <w:tcBorders>
              <w:left w:val="single" w:sz="4" w:space="0" w:color="auto"/>
            </w:tcBorders>
          </w:tcPr>
          <w:p w:rsidR="00BE50DA" w:rsidRPr="00AE3251" w:rsidRDefault="00BE50DA" w:rsidP="00060F0B">
            <w:pPr>
              <w:jc w:val="center"/>
              <w:rPr>
                <w:sz w:val="18"/>
                <w:szCs w:val="20"/>
              </w:rPr>
            </w:pPr>
          </w:p>
        </w:tc>
        <w:tc>
          <w:tcPr>
            <w:tcW w:w="1020" w:type="dxa"/>
            <w:vAlign w:val="center"/>
          </w:tcPr>
          <w:p w:rsidR="00BE50DA" w:rsidRPr="00AE3251" w:rsidRDefault="00BE50DA" w:rsidP="00060F0B">
            <w:pPr>
              <w:jc w:val="center"/>
              <w:rPr>
                <w:sz w:val="18"/>
                <w:szCs w:val="20"/>
              </w:rPr>
            </w:pPr>
            <w:r w:rsidRPr="00AE3251">
              <w:rPr>
                <w:sz w:val="18"/>
                <w:szCs w:val="20"/>
              </w:rPr>
              <w:t>HR_Stock</w:t>
            </w:r>
          </w:p>
        </w:tc>
        <w:tc>
          <w:tcPr>
            <w:tcW w:w="1020" w:type="dxa"/>
            <w:vAlign w:val="center"/>
          </w:tcPr>
          <w:p w:rsidR="00BE50DA" w:rsidRPr="00AE3251" w:rsidRDefault="00BE50DA" w:rsidP="00060F0B">
            <w:pPr>
              <w:jc w:val="center"/>
              <w:rPr>
                <w:rFonts w:ascii="Calibri" w:hAnsi="Calibri"/>
                <w:color w:val="000000"/>
                <w:sz w:val="18"/>
              </w:rPr>
            </w:pPr>
            <w:r w:rsidRPr="00AE3251">
              <w:rPr>
                <w:rFonts w:ascii="Calibri" w:hAnsi="Calibri"/>
                <w:color w:val="000000"/>
                <w:sz w:val="18"/>
              </w:rPr>
              <w:t>-22.3%</w:t>
            </w:r>
          </w:p>
        </w:tc>
        <w:tc>
          <w:tcPr>
            <w:tcW w:w="236" w:type="dxa"/>
          </w:tcPr>
          <w:p w:rsidR="00BE50DA" w:rsidRPr="00AE3251" w:rsidRDefault="00BE50DA" w:rsidP="00060F0B">
            <w:pPr>
              <w:jc w:val="center"/>
              <w:rPr>
                <w:rFonts w:ascii="Calibri" w:hAnsi="Calibri"/>
                <w:color w:val="000000"/>
                <w:sz w:val="18"/>
              </w:rPr>
            </w:pPr>
          </w:p>
        </w:tc>
        <w:tc>
          <w:tcPr>
            <w:tcW w:w="1020" w:type="dxa"/>
            <w:vAlign w:val="center"/>
          </w:tcPr>
          <w:p w:rsidR="00BE50DA" w:rsidRPr="00AE3251" w:rsidRDefault="00BE50DA" w:rsidP="00060F0B">
            <w:pPr>
              <w:jc w:val="center"/>
              <w:rPr>
                <w:rFonts w:ascii="Calibri" w:hAnsi="Calibri"/>
                <w:color w:val="000000"/>
                <w:sz w:val="18"/>
              </w:rPr>
            </w:pPr>
            <w:r w:rsidRPr="00AE3251">
              <w:rPr>
                <w:rFonts w:ascii="Calibri" w:hAnsi="Calibri"/>
                <w:color w:val="000000"/>
                <w:sz w:val="18"/>
              </w:rPr>
              <w:t>34.8%</w:t>
            </w:r>
          </w:p>
        </w:tc>
        <w:tc>
          <w:tcPr>
            <w:tcW w:w="236" w:type="dxa"/>
          </w:tcPr>
          <w:p w:rsidR="00BE50DA" w:rsidRPr="00AE3251" w:rsidRDefault="00BE50DA" w:rsidP="00060F0B">
            <w:pPr>
              <w:jc w:val="center"/>
              <w:rPr>
                <w:rFonts w:ascii="Calibri" w:hAnsi="Calibri"/>
                <w:color w:val="000000"/>
                <w:sz w:val="18"/>
              </w:rPr>
            </w:pPr>
          </w:p>
        </w:tc>
        <w:tc>
          <w:tcPr>
            <w:tcW w:w="1020" w:type="dxa"/>
            <w:vAlign w:val="center"/>
          </w:tcPr>
          <w:p w:rsidR="00BE50DA" w:rsidRPr="00AE3251" w:rsidRDefault="00BE50DA" w:rsidP="00060F0B">
            <w:pPr>
              <w:jc w:val="center"/>
              <w:rPr>
                <w:rFonts w:ascii="Calibri" w:hAnsi="Calibri"/>
                <w:color w:val="000000"/>
                <w:sz w:val="18"/>
              </w:rPr>
            </w:pPr>
            <w:r w:rsidRPr="00AE3251">
              <w:rPr>
                <w:rFonts w:ascii="Calibri" w:hAnsi="Calibri"/>
                <w:color w:val="548DD4" w:themeColor="text2" w:themeTint="99"/>
                <w:sz w:val="18"/>
              </w:rPr>
              <w:t>91.0%</w:t>
            </w:r>
          </w:p>
        </w:tc>
        <w:tc>
          <w:tcPr>
            <w:tcW w:w="1020" w:type="dxa"/>
            <w:vAlign w:val="center"/>
          </w:tcPr>
          <w:p w:rsidR="00BE50DA" w:rsidRPr="00AE3251" w:rsidRDefault="00BE50DA" w:rsidP="00060F0B">
            <w:pPr>
              <w:jc w:val="center"/>
              <w:rPr>
                <w:rFonts w:ascii="Calibri" w:hAnsi="Calibri"/>
                <w:color w:val="000000"/>
                <w:sz w:val="18"/>
              </w:rPr>
            </w:pPr>
          </w:p>
        </w:tc>
        <w:tc>
          <w:tcPr>
            <w:tcW w:w="1020" w:type="dxa"/>
            <w:vAlign w:val="center"/>
          </w:tcPr>
          <w:p w:rsidR="00BE50DA" w:rsidRPr="00AE3251" w:rsidRDefault="00BE50DA" w:rsidP="00060F0B">
            <w:pPr>
              <w:jc w:val="center"/>
              <w:rPr>
                <w:rFonts w:ascii="Calibri" w:hAnsi="Calibri"/>
                <w:color w:val="000000"/>
                <w:sz w:val="18"/>
              </w:rPr>
            </w:pPr>
          </w:p>
        </w:tc>
      </w:tr>
      <w:tr w:rsidR="00BE50DA" w:rsidRPr="00AE3251" w:rsidTr="00060F0B">
        <w:trPr>
          <w:trHeight w:val="20"/>
          <w:jc w:val="center"/>
        </w:trPr>
        <w:tc>
          <w:tcPr>
            <w:tcW w:w="1018" w:type="dxa"/>
            <w:vAlign w:val="center"/>
          </w:tcPr>
          <w:p w:rsidR="00BE50DA" w:rsidRPr="00AE3251" w:rsidRDefault="00BE50DA" w:rsidP="00060F0B">
            <w:pPr>
              <w:jc w:val="center"/>
              <w:rPr>
                <w:sz w:val="18"/>
                <w:szCs w:val="20"/>
              </w:rPr>
            </w:pPr>
            <w:r w:rsidRPr="00AE3251">
              <w:rPr>
                <w:sz w:val="18"/>
                <w:szCs w:val="20"/>
              </w:rPr>
              <w:t>LR_Bond</w:t>
            </w:r>
          </w:p>
        </w:tc>
        <w:tc>
          <w:tcPr>
            <w:tcW w:w="1018" w:type="dxa"/>
            <w:vAlign w:val="center"/>
          </w:tcPr>
          <w:p w:rsidR="00BE50DA" w:rsidRPr="00AE3251" w:rsidRDefault="00BE50DA" w:rsidP="00060F0B">
            <w:pPr>
              <w:jc w:val="center"/>
              <w:rPr>
                <w:rFonts w:ascii="Calibri" w:hAnsi="Calibri"/>
                <w:color w:val="000000"/>
                <w:sz w:val="18"/>
              </w:rPr>
            </w:pPr>
            <w:r w:rsidRPr="00AE3251">
              <w:rPr>
                <w:rFonts w:ascii="Calibri" w:hAnsi="Calibri"/>
                <w:color w:val="000000"/>
                <w:sz w:val="18"/>
              </w:rPr>
              <w:t>-3.4%</w:t>
            </w:r>
          </w:p>
        </w:tc>
        <w:tc>
          <w:tcPr>
            <w:tcW w:w="236" w:type="dxa"/>
          </w:tcPr>
          <w:p w:rsidR="00BE50DA" w:rsidRPr="00AE3251" w:rsidRDefault="00BE50DA" w:rsidP="00060F0B">
            <w:pPr>
              <w:jc w:val="center"/>
              <w:rPr>
                <w:rFonts w:ascii="Calibri" w:hAnsi="Calibri"/>
                <w:color w:val="000000"/>
                <w:sz w:val="18"/>
              </w:rPr>
            </w:pPr>
          </w:p>
        </w:tc>
        <w:tc>
          <w:tcPr>
            <w:tcW w:w="1018" w:type="dxa"/>
            <w:vAlign w:val="center"/>
          </w:tcPr>
          <w:p w:rsidR="00BE50DA" w:rsidRPr="00AE3251" w:rsidRDefault="00BE50DA" w:rsidP="00060F0B">
            <w:pPr>
              <w:jc w:val="center"/>
              <w:rPr>
                <w:rFonts w:ascii="Calibri" w:hAnsi="Calibri"/>
                <w:color w:val="000000"/>
                <w:sz w:val="18"/>
              </w:rPr>
            </w:pPr>
            <w:r w:rsidRPr="00AE3251">
              <w:rPr>
                <w:rFonts w:ascii="Calibri" w:hAnsi="Calibri"/>
                <w:color w:val="000000"/>
                <w:sz w:val="18"/>
              </w:rPr>
              <w:t>2.9%</w:t>
            </w:r>
          </w:p>
        </w:tc>
        <w:tc>
          <w:tcPr>
            <w:tcW w:w="236" w:type="dxa"/>
          </w:tcPr>
          <w:p w:rsidR="00BE50DA" w:rsidRPr="00AE3251" w:rsidRDefault="00BE50DA" w:rsidP="00060F0B">
            <w:pPr>
              <w:jc w:val="center"/>
              <w:rPr>
                <w:rFonts w:ascii="Calibri" w:hAnsi="Calibri"/>
                <w:color w:val="000000"/>
                <w:sz w:val="18"/>
              </w:rPr>
            </w:pPr>
          </w:p>
        </w:tc>
        <w:tc>
          <w:tcPr>
            <w:tcW w:w="1019" w:type="dxa"/>
            <w:vAlign w:val="center"/>
          </w:tcPr>
          <w:p w:rsidR="00BE50DA" w:rsidRPr="00AE3251" w:rsidRDefault="00BE50DA" w:rsidP="00060F0B">
            <w:pPr>
              <w:jc w:val="center"/>
              <w:rPr>
                <w:rFonts w:ascii="Calibri" w:hAnsi="Calibri"/>
                <w:color w:val="FF0000"/>
                <w:sz w:val="18"/>
              </w:rPr>
            </w:pPr>
            <w:r w:rsidRPr="00AE3251">
              <w:rPr>
                <w:rFonts w:ascii="Calibri" w:hAnsi="Calibri"/>
                <w:color w:val="FF0000"/>
                <w:sz w:val="18"/>
              </w:rPr>
              <w:t>-15.6%</w:t>
            </w:r>
          </w:p>
        </w:tc>
        <w:tc>
          <w:tcPr>
            <w:tcW w:w="1019" w:type="dxa"/>
            <w:vAlign w:val="center"/>
          </w:tcPr>
          <w:p w:rsidR="00BE50DA" w:rsidRPr="00AE3251" w:rsidRDefault="00BE50DA" w:rsidP="00060F0B">
            <w:pPr>
              <w:jc w:val="center"/>
              <w:rPr>
                <w:rFonts w:ascii="Calibri" w:hAnsi="Calibri"/>
                <w:color w:val="FF0000"/>
                <w:sz w:val="18"/>
              </w:rPr>
            </w:pPr>
            <w:r w:rsidRPr="00AE3251">
              <w:rPr>
                <w:rFonts w:ascii="Calibri" w:hAnsi="Calibri"/>
                <w:color w:val="FF0000"/>
                <w:sz w:val="18"/>
              </w:rPr>
              <w:t>-16.1%</w:t>
            </w:r>
          </w:p>
        </w:tc>
        <w:tc>
          <w:tcPr>
            <w:tcW w:w="1020" w:type="dxa"/>
            <w:vAlign w:val="center"/>
          </w:tcPr>
          <w:p w:rsidR="00BE50DA" w:rsidRPr="00AE3251" w:rsidRDefault="00BE50DA" w:rsidP="00060F0B">
            <w:pPr>
              <w:jc w:val="center"/>
              <w:rPr>
                <w:rFonts w:ascii="Calibri" w:hAnsi="Calibri"/>
                <w:color w:val="000000"/>
                <w:sz w:val="18"/>
              </w:rPr>
            </w:pPr>
          </w:p>
        </w:tc>
        <w:tc>
          <w:tcPr>
            <w:tcW w:w="236" w:type="dxa"/>
            <w:tcBorders>
              <w:right w:val="single" w:sz="4" w:space="0" w:color="auto"/>
            </w:tcBorders>
          </w:tcPr>
          <w:p w:rsidR="00BE50DA" w:rsidRPr="00AE3251" w:rsidRDefault="00BE50DA" w:rsidP="00060F0B">
            <w:pPr>
              <w:jc w:val="center"/>
              <w:rPr>
                <w:sz w:val="18"/>
                <w:szCs w:val="20"/>
              </w:rPr>
            </w:pPr>
          </w:p>
        </w:tc>
        <w:tc>
          <w:tcPr>
            <w:tcW w:w="236" w:type="dxa"/>
            <w:tcBorders>
              <w:left w:val="single" w:sz="4" w:space="0" w:color="auto"/>
            </w:tcBorders>
          </w:tcPr>
          <w:p w:rsidR="00BE50DA" w:rsidRPr="00AE3251" w:rsidRDefault="00BE50DA" w:rsidP="00060F0B">
            <w:pPr>
              <w:jc w:val="center"/>
              <w:rPr>
                <w:sz w:val="18"/>
                <w:szCs w:val="20"/>
              </w:rPr>
            </w:pPr>
          </w:p>
        </w:tc>
        <w:tc>
          <w:tcPr>
            <w:tcW w:w="1020" w:type="dxa"/>
            <w:vAlign w:val="center"/>
          </w:tcPr>
          <w:p w:rsidR="00BE50DA" w:rsidRPr="00AE3251" w:rsidRDefault="00BE50DA" w:rsidP="00060F0B">
            <w:pPr>
              <w:jc w:val="center"/>
              <w:rPr>
                <w:sz w:val="18"/>
                <w:szCs w:val="20"/>
              </w:rPr>
            </w:pPr>
            <w:r w:rsidRPr="00AE3251">
              <w:rPr>
                <w:sz w:val="18"/>
                <w:szCs w:val="20"/>
              </w:rPr>
              <w:t>LR_Bond</w:t>
            </w:r>
          </w:p>
        </w:tc>
        <w:tc>
          <w:tcPr>
            <w:tcW w:w="1020" w:type="dxa"/>
            <w:vAlign w:val="center"/>
          </w:tcPr>
          <w:p w:rsidR="00BE50DA" w:rsidRPr="00AE3251" w:rsidRDefault="00BE50DA" w:rsidP="00060F0B">
            <w:pPr>
              <w:jc w:val="center"/>
              <w:rPr>
                <w:rFonts w:ascii="Calibri" w:hAnsi="Calibri"/>
                <w:color w:val="000000"/>
                <w:sz w:val="18"/>
              </w:rPr>
            </w:pPr>
            <w:r w:rsidRPr="00AE3251">
              <w:rPr>
                <w:rFonts w:ascii="Calibri" w:hAnsi="Calibri"/>
                <w:color w:val="000000"/>
                <w:sz w:val="18"/>
              </w:rPr>
              <w:t>0.3%</w:t>
            </w:r>
          </w:p>
        </w:tc>
        <w:tc>
          <w:tcPr>
            <w:tcW w:w="236" w:type="dxa"/>
          </w:tcPr>
          <w:p w:rsidR="00BE50DA" w:rsidRPr="00AE3251" w:rsidRDefault="00BE50DA" w:rsidP="00060F0B">
            <w:pPr>
              <w:jc w:val="center"/>
              <w:rPr>
                <w:rFonts w:ascii="Calibri" w:hAnsi="Calibri"/>
                <w:color w:val="000000"/>
                <w:sz w:val="18"/>
              </w:rPr>
            </w:pPr>
          </w:p>
        </w:tc>
        <w:tc>
          <w:tcPr>
            <w:tcW w:w="1020" w:type="dxa"/>
            <w:vAlign w:val="center"/>
          </w:tcPr>
          <w:p w:rsidR="00BE50DA" w:rsidRPr="00AE3251" w:rsidRDefault="00BE50DA" w:rsidP="00060F0B">
            <w:pPr>
              <w:jc w:val="center"/>
              <w:rPr>
                <w:rFonts w:ascii="Calibri" w:hAnsi="Calibri"/>
                <w:color w:val="000000"/>
                <w:sz w:val="18"/>
              </w:rPr>
            </w:pPr>
            <w:r w:rsidRPr="00AE3251">
              <w:rPr>
                <w:rFonts w:ascii="Calibri" w:hAnsi="Calibri"/>
                <w:color w:val="000000"/>
                <w:sz w:val="18"/>
              </w:rPr>
              <w:t>5.0%</w:t>
            </w:r>
          </w:p>
        </w:tc>
        <w:tc>
          <w:tcPr>
            <w:tcW w:w="236" w:type="dxa"/>
          </w:tcPr>
          <w:p w:rsidR="00BE50DA" w:rsidRPr="00AE3251" w:rsidRDefault="00BE50DA" w:rsidP="00060F0B">
            <w:pPr>
              <w:jc w:val="center"/>
              <w:rPr>
                <w:rFonts w:ascii="Calibri" w:hAnsi="Calibri"/>
                <w:color w:val="000000"/>
                <w:sz w:val="18"/>
              </w:rPr>
            </w:pPr>
          </w:p>
        </w:tc>
        <w:tc>
          <w:tcPr>
            <w:tcW w:w="1020" w:type="dxa"/>
            <w:vAlign w:val="center"/>
          </w:tcPr>
          <w:p w:rsidR="00BE50DA" w:rsidRPr="00AE3251" w:rsidRDefault="00BE50DA" w:rsidP="00060F0B">
            <w:pPr>
              <w:jc w:val="center"/>
              <w:rPr>
                <w:rFonts w:ascii="Calibri" w:hAnsi="Calibri"/>
                <w:color w:val="FF0000"/>
                <w:sz w:val="18"/>
              </w:rPr>
            </w:pPr>
            <w:r w:rsidRPr="00AE3251">
              <w:rPr>
                <w:rFonts w:ascii="Calibri" w:hAnsi="Calibri"/>
                <w:color w:val="FF0000"/>
                <w:sz w:val="18"/>
              </w:rPr>
              <w:t>-45.5%</w:t>
            </w:r>
          </w:p>
        </w:tc>
        <w:tc>
          <w:tcPr>
            <w:tcW w:w="1020" w:type="dxa"/>
            <w:vAlign w:val="center"/>
          </w:tcPr>
          <w:p w:rsidR="00BE50DA" w:rsidRPr="00AE3251" w:rsidRDefault="00BE50DA" w:rsidP="00060F0B">
            <w:pPr>
              <w:jc w:val="center"/>
              <w:rPr>
                <w:rFonts w:ascii="Calibri" w:hAnsi="Calibri"/>
                <w:color w:val="FF0000"/>
                <w:sz w:val="18"/>
              </w:rPr>
            </w:pPr>
            <w:r w:rsidRPr="00AE3251">
              <w:rPr>
                <w:rFonts w:ascii="Calibri" w:hAnsi="Calibri"/>
                <w:color w:val="FF0000"/>
                <w:sz w:val="18"/>
              </w:rPr>
              <w:t>-44.3%</w:t>
            </w:r>
          </w:p>
        </w:tc>
        <w:tc>
          <w:tcPr>
            <w:tcW w:w="1020" w:type="dxa"/>
            <w:vAlign w:val="center"/>
          </w:tcPr>
          <w:p w:rsidR="00BE50DA" w:rsidRPr="00AE3251" w:rsidRDefault="00BE50DA" w:rsidP="00060F0B">
            <w:pPr>
              <w:jc w:val="center"/>
              <w:rPr>
                <w:rFonts w:ascii="Calibri" w:hAnsi="Calibri"/>
                <w:color w:val="000000"/>
                <w:sz w:val="18"/>
              </w:rPr>
            </w:pPr>
          </w:p>
        </w:tc>
      </w:tr>
      <w:tr w:rsidR="00BE50DA" w:rsidRPr="00AE3251" w:rsidTr="00060F0B">
        <w:trPr>
          <w:trHeight w:val="20"/>
          <w:jc w:val="center"/>
        </w:trPr>
        <w:tc>
          <w:tcPr>
            <w:tcW w:w="1018" w:type="dxa"/>
            <w:tcBorders>
              <w:bottom w:val="single" w:sz="4" w:space="0" w:color="auto"/>
            </w:tcBorders>
            <w:vAlign w:val="center"/>
          </w:tcPr>
          <w:p w:rsidR="00BE50DA" w:rsidRPr="00AE3251" w:rsidRDefault="00BE50DA" w:rsidP="00060F0B">
            <w:pPr>
              <w:jc w:val="center"/>
              <w:rPr>
                <w:sz w:val="18"/>
                <w:szCs w:val="20"/>
              </w:rPr>
            </w:pPr>
            <w:r w:rsidRPr="00AE3251">
              <w:rPr>
                <w:sz w:val="18"/>
                <w:szCs w:val="20"/>
              </w:rPr>
              <w:t>HR_Bond</w:t>
            </w:r>
          </w:p>
        </w:tc>
        <w:tc>
          <w:tcPr>
            <w:tcW w:w="1018" w:type="dxa"/>
            <w:tcBorders>
              <w:bottom w:val="single" w:sz="4" w:space="0" w:color="auto"/>
            </w:tcBorders>
            <w:vAlign w:val="center"/>
          </w:tcPr>
          <w:p w:rsidR="00BE50DA" w:rsidRPr="00AE3251" w:rsidRDefault="00BE50DA" w:rsidP="00060F0B">
            <w:pPr>
              <w:jc w:val="center"/>
              <w:rPr>
                <w:rFonts w:ascii="Calibri" w:hAnsi="Calibri"/>
                <w:color w:val="000000"/>
                <w:sz w:val="18"/>
              </w:rPr>
            </w:pPr>
            <w:r w:rsidRPr="00AE3251">
              <w:rPr>
                <w:rFonts w:ascii="Calibri" w:hAnsi="Calibri"/>
                <w:color w:val="000000"/>
                <w:sz w:val="18"/>
              </w:rPr>
              <w:t>-3.8%</w:t>
            </w:r>
          </w:p>
        </w:tc>
        <w:tc>
          <w:tcPr>
            <w:tcW w:w="236" w:type="dxa"/>
            <w:tcBorders>
              <w:bottom w:val="single" w:sz="4" w:space="0" w:color="auto"/>
            </w:tcBorders>
          </w:tcPr>
          <w:p w:rsidR="00BE50DA" w:rsidRPr="00AE3251" w:rsidRDefault="00BE50DA" w:rsidP="00060F0B">
            <w:pPr>
              <w:jc w:val="center"/>
              <w:rPr>
                <w:rFonts w:ascii="Calibri" w:hAnsi="Calibri"/>
                <w:color w:val="000000"/>
                <w:sz w:val="18"/>
              </w:rPr>
            </w:pPr>
          </w:p>
        </w:tc>
        <w:tc>
          <w:tcPr>
            <w:tcW w:w="1018" w:type="dxa"/>
            <w:tcBorders>
              <w:bottom w:val="single" w:sz="4" w:space="0" w:color="auto"/>
            </w:tcBorders>
            <w:vAlign w:val="center"/>
          </w:tcPr>
          <w:p w:rsidR="00BE50DA" w:rsidRPr="00AE3251" w:rsidRDefault="00BE50DA" w:rsidP="00060F0B">
            <w:pPr>
              <w:jc w:val="center"/>
              <w:rPr>
                <w:rFonts w:ascii="Calibri" w:hAnsi="Calibri"/>
                <w:color w:val="000000"/>
                <w:sz w:val="18"/>
              </w:rPr>
            </w:pPr>
            <w:r w:rsidRPr="00AE3251">
              <w:rPr>
                <w:rFonts w:ascii="Calibri" w:hAnsi="Calibri"/>
                <w:color w:val="000000"/>
                <w:sz w:val="18"/>
              </w:rPr>
              <w:t>3.1%</w:t>
            </w:r>
          </w:p>
        </w:tc>
        <w:tc>
          <w:tcPr>
            <w:tcW w:w="236" w:type="dxa"/>
            <w:tcBorders>
              <w:bottom w:val="single" w:sz="4" w:space="0" w:color="auto"/>
            </w:tcBorders>
          </w:tcPr>
          <w:p w:rsidR="00BE50DA" w:rsidRPr="00AE3251" w:rsidRDefault="00BE50DA" w:rsidP="00060F0B">
            <w:pPr>
              <w:jc w:val="center"/>
              <w:rPr>
                <w:rFonts w:ascii="Calibri" w:hAnsi="Calibri"/>
                <w:color w:val="000000"/>
                <w:sz w:val="18"/>
              </w:rPr>
            </w:pPr>
          </w:p>
        </w:tc>
        <w:tc>
          <w:tcPr>
            <w:tcW w:w="1019" w:type="dxa"/>
            <w:tcBorders>
              <w:bottom w:val="single" w:sz="4" w:space="0" w:color="auto"/>
            </w:tcBorders>
            <w:vAlign w:val="center"/>
          </w:tcPr>
          <w:p w:rsidR="00BE50DA" w:rsidRPr="00AE3251" w:rsidRDefault="00BE50DA" w:rsidP="00060F0B">
            <w:pPr>
              <w:jc w:val="center"/>
              <w:rPr>
                <w:rFonts w:ascii="Calibri" w:hAnsi="Calibri"/>
                <w:color w:val="FF0000"/>
                <w:sz w:val="18"/>
              </w:rPr>
            </w:pPr>
            <w:r w:rsidRPr="00AE3251">
              <w:rPr>
                <w:rFonts w:ascii="Calibri" w:hAnsi="Calibri"/>
                <w:color w:val="FF0000"/>
                <w:sz w:val="18"/>
              </w:rPr>
              <w:t>-14.8%</w:t>
            </w:r>
          </w:p>
        </w:tc>
        <w:tc>
          <w:tcPr>
            <w:tcW w:w="1019" w:type="dxa"/>
            <w:tcBorders>
              <w:bottom w:val="single" w:sz="4" w:space="0" w:color="auto"/>
            </w:tcBorders>
            <w:vAlign w:val="center"/>
          </w:tcPr>
          <w:p w:rsidR="00BE50DA" w:rsidRPr="00AE3251" w:rsidRDefault="00BE50DA" w:rsidP="00060F0B">
            <w:pPr>
              <w:jc w:val="center"/>
              <w:rPr>
                <w:rFonts w:ascii="Calibri" w:hAnsi="Calibri"/>
                <w:color w:val="FF0000"/>
                <w:sz w:val="18"/>
              </w:rPr>
            </w:pPr>
            <w:r w:rsidRPr="00AE3251">
              <w:rPr>
                <w:rFonts w:ascii="Calibri" w:hAnsi="Calibri"/>
                <w:color w:val="FF0000"/>
                <w:sz w:val="18"/>
              </w:rPr>
              <w:t>-14.9%</w:t>
            </w:r>
          </w:p>
        </w:tc>
        <w:tc>
          <w:tcPr>
            <w:tcW w:w="1020" w:type="dxa"/>
            <w:tcBorders>
              <w:bottom w:val="single" w:sz="4" w:space="0" w:color="auto"/>
            </w:tcBorders>
            <w:vAlign w:val="center"/>
          </w:tcPr>
          <w:p w:rsidR="00BE50DA" w:rsidRPr="00AE3251" w:rsidRDefault="00BE50DA" w:rsidP="00060F0B">
            <w:pPr>
              <w:jc w:val="center"/>
              <w:rPr>
                <w:rFonts w:ascii="Calibri" w:hAnsi="Calibri"/>
                <w:color w:val="000000"/>
                <w:sz w:val="18"/>
              </w:rPr>
            </w:pPr>
            <w:r w:rsidRPr="00AE3251">
              <w:rPr>
                <w:rFonts w:ascii="Calibri" w:hAnsi="Calibri"/>
                <w:color w:val="548DD4" w:themeColor="text2" w:themeTint="99"/>
                <w:sz w:val="18"/>
              </w:rPr>
              <w:t>99.5%</w:t>
            </w:r>
          </w:p>
        </w:tc>
        <w:tc>
          <w:tcPr>
            <w:tcW w:w="236" w:type="dxa"/>
            <w:tcBorders>
              <w:bottom w:val="single" w:sz="4" w:space="0" w:color="auto"/>
              <w:right w:val="single" w:sz="4" w:space="0" w:color="auto"/>
            </w:tcBorders>
          </w:tcPr>
          <w:p w:rsidR="00BE50DA" w:rsidRPr="00AE3251" w:rsidRDefault="00BE50DA" w:rsidP="00060F0B">
            <w:pPr>
              <w:jc w:val="center"/>
              <w:rPr>
                <w:sz w:val="18"/>
                <w:szCs w:val="20"/>
              </w:rPr>
            </w:pPr>
          </w:p>
        </w:tc>
        <w:tc>
          <w:tcPr>
            <w:tcW w:w="236" w:type="dxa"/>
            <w:tcBorders>
              <w:left w:val="single" w:sz="4" w:space="0" w:color="auto"/>
              <w:bottom w:val="single" w:sz="4" w:space="0" w:color="auto"/>
            </w:tcBorders>
          </w:tcPr>
          <w:p w:rsidR="00BE50DA" w:rsidRPr="00AE3251" w:rsidRDefault="00BE50DA" w:rsidP="00060F0B">
            <w:pPr>
              <w:jc w:val="center"/>
              <w:rPr>
                <w:sz w:val="18"/>
                <w:szCs w:val="20"/>
              </w:rPr>
            </w:pPr>
          </w:p>
        </w:tc>
        <w:tc>
          <w:tcPr>
            <w:tcW w:w="1020" w:type="dxa"/>
            <w:tcBorders>
              <w:bottom w:val="single" w:sz="4" w:space="0" w:color="auto"/>
            </w:tcBorders>
            <w:vAlign w:val="center"/>
          </w:tcPr>
          <w:p w:rsidR="00BE50DA" w:rsidRPr="00AE3251" w:rsidRDefault="00BE50DA" w:rsidP="00060F0B">
            <w:pPr>
              <w:jc w:val="center"/>
              <w:rPr>
                <w:sz w:val="18"/>
                <w:szCs w:val="20"/>
              </w:rPr>
            </w:pPr>
            <w:r w:rsidRPr="00AE3251">
              <w:rPr>
                <w:sz w:val="18"/>
                <w:szCs w:val="20"/>
              </w:rPr>
              <w:t>HR_Bond</w:t>
            </w:r>
          </w:p>
        </w:tc>
        <w:tc>
          <w:tcPr>
            <w:tcW w:w="1020" w:type="dxa"/>
            <w:tcBorders>
              <w:bottom w:val="single" w:sz="4" w:space="0" w:color="auto"/>
            </w:tcBorders>
            <w:vAlign w:val="center"/>
          </w:tcPr>
          <w:p w:rsidR="00BE50DA" w:rsidRPr="00AE3251" w:rsidRDefault="00BE50DA" w:rsidP="00060F0B">
            <w:pPr>
              <w:jc w:val="center"/>
              <w:rPr>
                <w:rFonts w:ascii="Calibri" w:hAnsi="Calibri"/>
                <w:color w:val="000000"/>
                <w:sz w:val="18"/>
              </w:rPr>
            </w:pPr>
            <w:r w:rsidRPr="00AE3251">
              <w:rPr>
                <w:rFonts w:ascii="Calibri" w:hAnsi="Calibri"/>
                <w:color w:val="000000"/>
                <w:sz w:val="18"/>
              </w:rPr>
              <w:t>-1.1%</w:t>
            </w:r>
          </w:p>
        </w:tc>
        <w:tc>
          <w:tcPr>
            <w:tcW w:w="236" w:type="dxa"/>
            <w:tcBorders>
              <w:bottom w:val="single" w:sz="4" w:space="0" w:color="auto"/>
            </w:tcBorders>
          </w:tcPr>
          <w:p w:rsidR="00BE50DA" w:rsidRPr="00AE3251" w:rsidRDefault="00BE50DA" w:rsidP="00060F0B">
            <w:pPr>
              <w:jc w:val="center"/>
              <w:rPr>
                <w:rFonts w:ascii="Calibri" w:hAnsi="Calibri"/>
                <w:color w:val="000000"/>
                <w:sz w:val="18"/>
              </w:rPr>
            </w:pPr>
          </w:p>
        </w:tc>
        <w:tc>
          <w:tcPr>
            <w:tcW w:w="1020" w:type="dxa"/>
            <w:tcBorders>
              <w:bottom w:val="single" w:sz="4" w:space="0" w:color="auto"/>
            </w:tcBorders>
            <w:vAlign w:val="center"/>
          </w:tcPr>
          <w:p w:rsidR="00BE50DA" w:rsidRPr="00AE3251" w:rsidRDefault="00BE50DA" w:rsidP="00060F0B">
            <w:pPr>
              <w:jc w:val="center"/>
              <w:rPr>
                <w:rFonts w:ascii="Calibri" w:hAnsi="Calibri"/>
                <w:color w:val="000000"/>
                <w:sz w:val="18"/>
              </w:rPr>
            </w:pPr>
            <w:r w:rsidRPr="00AE3251">
              <w:rPr>
                <w:rFonts w:ascii="Calibri" w:hAnsi="Calibri"/>
                <w:color w:val="000000"/>
                <w:sz w:val="18"/>
              </w:rPr>
              <w:t>5.2%</w:t>
            </w:r>
          </w:p>
        </w:tc>
        <w:tc>
          <w:tcPr>
            <w:tcW w:w="236" w:type="dxa"/>
            <w:tcBorders>
              <w:bottom w:val="single" w:sz="4" w:space="0" w:color="auto"/>
            </w:tcBorders>
          </w:tcPr>
          <w:p w:rsidR="00BE50DA" w:rsidRPr="00AE3251" w:rsidRDefault="00BE50DA" w:rsidP="00060F0B">
            <w:pPr>
              <w:jc w:val="center"/>
              <w:rPr>
                <w:rFonts w:ascii="Calibri" w:hAnsi="Calibri"/>
                <w:color w:val="000000"/>
                <w:sz w:val="18"/>
              </w:rPr>
            </w:pPr>
          </w:p>
        </w:tc>
        <w:tc>
          <w:tcPr>
            <w:tcW w:w="1020" w:type="dxa"/>
            <w:tcBorders>
              <w:bottom w:val="single" w:sz="4" w:space="0" w:color="auto"/>
            </w:tcBorders>
            <w:vAlign w:val="center"/>
          </w:tcPr>
          <w:p w:rsidR="00BE50DA" w:rsidRPr="00AE3251" w:rsidRDefault="00BE50DA" w:rsidP="00060F0B">
            <w:pPr>
              <w:jc w:val="center"/>
              <w:rPr>
                <w:rFonts w:ascii="Calibri" w:hAnsi="Calibri"/>
                <w:color w:val="FF0000"/>
                <w:sz w:val="18"/>
              </w:rPr>
            </w:pPr>
            <w:r w:rsidRPr="00AE3251">
              <w:rPr>
                <w:rFonts w:ascii="Calibri" w:hAnsi="Calibri"/>
                <w:color w:val="FF0000"/>
                <w:sz w:val="18"/>
              </w:rPr>
              <w:t>-30.6%</w:t>
            </w:r>
          </w:p>
        </w:tc>
        <w:tc>
          <w:tcPr>
            <w:tcW w:w="1020" w:type="dxa"/>
            <w:tcBorders>
              <w:bottom w:val="single" w:sz="4" w:space="0" w:color="auto"/>
            </w:tcBorders>
            <w:vAlign w:val="center"/>
          </w:tcPr>
          <w:p w:rsidR="00BE50DA" w:rsidRPr="00AE3251" w:rsidRDefault="00BE50DA" w:rsidP="00060F0B">
            <w:pPr>
              <w:jc w:val="center"/>
              <w:rPr>
                <w:rFonts w:ascii="Calibri" w:hAnsi="Calibri"/>
                <w:color w:val="FF0000"/>
                <w:sz w:val="18"/>
              </w:rPr>
            </w:pPr>
            <w:r w:rsidRPr="00AE3251">
              <w:rPr>
                <w:rFonts w:ascii="Calibri" w:hAnsi="Calibri"/>
                <w:color w:val="FF0000"/>
                <w:sz w:val="18"/>
              </w:rPr>
              <w:t>-28.2%</w:t>
            </w:r>
          </w:p>
        </w:tc>
        <w:tc>
          <w:tcPr>
            <w:tcW w:w="1020" w:type="dxa"/>
            <w:tcBorders>
              <w:bottom w:val="single" w:sz="4" w:space="0" w:color="auto"/>
            </w:tcBorders>
            <w:vAlign w:val="center"/>
          </w:tcPr>
          <w:p w:rsidR="00BE50DA" w:rsidRPr="00AE3251" w:rsidRDefault="00BE50DA" w:rsidP="00060F0B">
            <w:pPr>
              <w:jc w:val="center"/>
              <w:rPr>
                <w:rFonts w:ascii="Calibri" w:hAnsi="Calibri"/>
                <w:color w:val="000000"/>
                <w:sz w:val="18"/>
              </w:rPr>
            </w:pPr>
            <w:r w:rsidRPr="00AE3251">
              <w:rPr>
                <w:rFonts w:ascii="Calibri" w:hAnsi="Calibri"/>
                <w:color w:val="548DD4" w:themeColor="text2" w:themeTint="99"/>
                <w:sz w:val="18"/>
              </w:rPr>
              <w:t>87.9%</w:t>
            </w:r>
          </w:p>
        </w:tc>
      </w:tr>
      <w:tr w:rsidR="00BE50DA" w:rsidRPr="00AE3251" w:rsidTr="00060F0B">
        <w:trPr>
          <w:trHeight w:val="397"/>
          <w:jc w:val="center"/>
        </w:trPr>
        <w:tc>
          <w:tcPr>
            <w:tcW w:w="6584" w:type="dxa"/>
            <w:gridSpan w:val="8"/>
            <w:tcBorders>
              <w:top w:val="single" w:sz="4" w:space="0" w:color="auto"/>
              <w:bottom w:val="single" w:sz="4" w:space="0" w:color="auto"/>
            </w:tcBorders>
            <w:vAlign w:val="center"/>
          </w:tcPr>
          <w:p w:rsidR="00BE50DA" w:rsidRPr="00AE3251" w:rsidRDefault="00BE50DA" w:rsidP="00060F0B">
            <w:pPr>
              <w:jc w:val="center"/>
              <w:rPr>
                <w:rFonts w:ascii="Calibri" w:hAnsi="Calibri"/>
                <w:color w:val="000000"/>
                <w:sz w:val="18"/>
              </w:rPr>
            </w:pPr>
            <w:r w:rsidRPr="00AE3251">
              <w:rPr>
                <w:sz w:val="18"/>
                <w:szCs w:val="20"/>
              </w:rPr>
              <w:t>Panel C: Sovereign crisis period I</w:t>
            </w:r>
          </w:p>
        </w:tc>
        <w:tc>
          <w:tcPr>
            <w:tcW w:w="236" w:type="dxa"/>
            <w:tcBorders>
              <w:top w:val="single" w:sz="4" w:space="0" w:color="auto"/>
              <w:bottom w:val="single" w:sz="4" w:space="0" w:color="auto"/>
            </w:tcBorders>
          </w:tcPr>
          <w:p w:rsidR="00BE50DA" w:rsidRPr="00AE3251" w:rsidRDefault="00BE50DA" w:rsidP="00060F0B">
            <w:pPr>
              <w:jc w:val="center"/>
              <w:rPr>
                <w:sz w:val="18"/>
                <w:szCs w:val="20"/>
              </w:rPr>
            </w:pPr>
          </w:p>
        </w:tc>
        <w:tc>
          <w:tcPr>
            <w:tcW w:w="236" w:type="dxa"/>
            <w:tcBorders>
              <w:top w:val="single" w:sz="4" w:space="0" w:color="auto"/>
              <w:bottom w:val="single" w:sz="4" w:space="0" w:color="auto"/>
            </w:tcBorders>
          </w:tcPr>
          <w:p w:rsidR="00BE50DA" w:rsidRPr="00AE3251" w:rsidRDefault="00BE50DA" w:rsidP="00060F0B">
            <w:pPr>
              <w:jc w:val="center"/>
              <w:rPr>
                <w:sz w:val="18"/>
                <w:szCs w:val="20"/>
              </w:rPr>
            </w:pPr>
          </w:p>
        </w:tc>
        <w:tc>
          <w:tcPr>
            <w:tcW w:w="6592" w:type="dxa"/>
            <w:gridSpan w:val="8"/>
            <w:tcBorders>
              <w:top w:val="single" w:sz="4" w:space="0" w:color="auto"/>
              <w:bottom w:val="single" w:sz="4" w:space="0" w:color="auto"/>
            </w:tcBorders>
            <w:vAlign w:val="center"/>
          </w:tcPr>
          <w:p w:rsidR="00BE50DA" w:rsidRPr="00AE3251" w:rsidRDefault="00BE50DA" w:rsidP="00060F0B">
            <w:pPr>
              <w:jc w:val="center"/>
              <w:rPr>
                <w:rFonts w:ascii="Calibri" w:hAnsi="Calibri"/>
                <w:color w:val="000000"/>
                <w:sz w:val="18"/>
              </w:rPr>
            </w:pPr>
            <w:r w:rsidRPr="00AE3251">
              <w:rPr>
                <w:sz w:val="18"/>
                <w:szCs w:val="20"/>
              </w:rPr>
              <w:t>Panel D: Sovereign crisis period II</w:t>
            </w:r>
          </w:p>
        </w:tc>
      </w:tr>
      <w:tr w:rsidR="00BE50DA" w:rsidRPr="00AE3251" w:rsidTr="00060F0B">
        <w:trPr>
          <w:trHeight w:val="20"/>
          <w:jc w:val="center"/>
        </w:trPr>
        <w:tc>
          <w:tcPr>
            <w:tcW w:w="1018" w:type="dxa"/>
            <w:tcBorders>
              <w:top w:val="single" w:sz="4" w:space="0" w:color="auto"/>
            </w:tcBorders>
            <w:vAlign w:val="center"/>
          </w:tcPr>
          <w:p w:rsidR="00BE50DA" w:rsidRPr="00AE3251" w:rsidRDefault="00BE50DA" w:rsidP="00060F0B">
            <w:pPr>
              <w:jc w:val="center"/>
              <w:rPr>
                <w:sz w:val="18"/>
                <w:szCs w:val="20"/>
              </w:rPr>
            </w:pPr>
          </w:p>
        </w:tc>
        <w:tc>
          <w:tcPr>
            <w:tcW w:w="1018" w:type="dxa"/>
            <w:vMerge w:val="restart"/>
            <w:tcBorders>
              <w:top w:val="single" w:sz="4" w:space="0" w:color="auto"/>
              <w:bottom w:val="single" w:sz="4" w:space="0" w:color="auto"/>
            </w:tcBorders>
            <w:vAlign w:val="center"/>
          </w:tcPr>
          <w:p w:rsidR="00BE50DA" w:rsidRPr="00AE3251" w:rsidRDefault="00BE50DA" w:rsidP="00060F0B">
            <w:pPr>
              <w:jc w:val="center"/>
              <w:rPr>
                <w:sz w:val="18"/>
                <w:szCs w:val="20"/>
              </w:rPr>
            </w:pPr>
            <w:r w:rsidRPr="00AE3251">
              <w:rPr>
                <w:sz w:val="18"/>
                <w:szCs w:val="20"/>
              </w:rPr>
              <w:t>Mean</w:t>
            </w:r>
          </w:p>
          <w:p w:rsidR="00BE50DA" w:rsidRPr="00AE3251" w:rsidRDefault="00BE50DA" w:rsidP="00060F0B">
            <w:pPr>
              <w:jc w:val="center"/>
              <w:rPr>
                <w:rFonts w:ascii="Calibri" w:hAnsi="Calibri"/>
                <w:color w:val="000000"/>
                <w:sz w:val="18"/>
              </w:rPr>
            </w:pPr>
            <w:r w:rsidRPr="00AE3251">
              <w:rPr>
                <w:sz w:val="18"/>
                <w:szCs w:val="20"/>
              </w:rPr>
              <w:t>Return</w:t>
            </w:r>
          </w:p>
        </w:tc>
        <w:tc>
          <w:tcPr>
            <w:tcW w:w="236" w:type="dxa"/>
            <w:tcBorders>
              <w:top w:val="single" w:sz="4" w:space="0" w:color="auto"/>
            </w:tcBorders>
          </w:tcPr>
          <w:p w:rsidR="00BE50DA" w:rsidRPr="00AE3251" w:rsidRDefault="00BE50DA" w:rsidP="00060F0B">
            <w:pPr>
              <w:jc w:val="center"/>
              <w:rPr>
                <w:rFonts w:ascii="Calibri" w:hAnsi="Calibri"/>
                <w:color w:val="000000"/>
                <w:sz w:val="18"/>
              </w:rPr>
            </w:pPr>
          </w:p>
        </w:tc>
        <w:tc>
          <w:tcPr>
            <w:tcW w:w="1018" w:type="dxa"/>
            <w:vMerge w:val="restart"/>
            <w:tcBorders>
              <w:top w:val="single" w:sz="4" w:space="0" w:color="auto"/>
              <w:bottom w:val="single" w:sz="4" w:space="0" w:color="auto"/>
            </w:tcBorders>
            <w:vAlign w:val="center"/>
          </w:tcPr>
          <w:p w:rsidR="00BE50DA" w:rsidRPr="00AE3251" w:rsidRDefault="00BE50DA" w:rsidP="00060F0B">
            <w:pPr>
              <w:jc w:val="center"/>
              <w:rPr>
                <w:rFonts w:ascii="Calibri" w:hAnsi="Calibri"/>
                <w:color w:val="000000"/>
                <w:sz w:val="18"/>
              </w:rPr>
            </w:pPr>
            <w:r w:rsidRPr="00AE3251">
              <w:rPr>
                <w:sz w:val="18"/>
                <w:szCs w:val="20"/>
              </w:rPr>
              <w:t>Standard Deviation</w:t>
            </w:r>
          </w:p>
        </w:tc>
        <w:tc>
          <w:tcPr>
            <w:tcW w:w="236" w:type="dxa"/>
            <w:tcBorders>
              <w:top w:val="single" w:sz="4" w:space="0" w:color="auto"/>
            </w:tcBorders>
          </w:tcPr>
          <w:p w:rsidR="00BE50DA" w:rsidRPr="00AE3251" w:rsidRDefault="00BE50DA" w:rsidP="00060F0B">
            <w:pPr>
              <w:jc w:val="center"/>
              <w:rPr>
                <w:rFonts w:ascii="Calibri" w:hAnsi="Calibri"/>
                <w:color w:val="000000"/>
                <w:sz w:val="18"/>
              </w:rPr>
            </w:pPr>
          </w:p>
        </w:tc>
        <w:tc>
          <w:tcPr>
            <w:tcW w:w="3058" w:type="dxa"/>
            <w:gridSpan w:val="3"/>
            <w:tcBorders>
              <w:top w:val="single" w:sz="4" w:space="0" w:color="auto"/>
            </w:tcBorders>
            <w:vAlign w:val="center"/>
          </w:tcPr>
          <w:p w:rsidR="00BE50DA" w:rsidRPr="00AE3251" w:rsidRDefault="00BE50DA" w:rsidP="00060F0B">
            <w:pPr>
              <w:jc w:val="center"/>
              <w:rPr>
                <w:rFonts w:ascii="Calibri" w:hAnsi="Calibri"/>
                <w:color w:val="000000"/>
                <w:sz w:val="18"/>
              </w:rPr>
            </w:pPr>
            <w:r w:rsidRPr="00AE3251">
              <w:rPr>
                <w:sz w:val="18"/>
                <w:szCs w:val="20"/>
              </w:rPr>
              <w:t>Correlations</w:t>
            </w:r>
          </w:p>
        </w:tc>
        <w:tc>
          <w:tcPr>
            <w:tcW w:w="236" w:type="dxa"/>
            <w:tcBorders>
              <w:top w:val="single" w:sz="4" w:space="0" w:color="auto"/>
              <w:right w:val="single" w:sz="4" w:space="0" w:color="auto"/>
            </w:tcBorders>
          </w:tcPr>
          <w:p w:rsidR="00BE50DA" w:rsidRPr="00AE3251" w:rsidRDefault="00BE50DA" w:rsidP="00060F0B">
            <w:pPr>
              <w:jc w:val="center"/>
              <w:rPr>
                <w:sz w:val="18"/>
                <w:szCs w:val="20"/>
              </w:rPr>
            </w:pPr>
          </w:p>
        </w:tc>
        <w:tc>
          <w:tcPr>
            <w:tcW w:w="236" w:type="dxa"/>
            <w:tcBorders>
              <w:top w:val="single" w:sz="4" w:space="0" w:color="auto"/>
              <w:left w:val="single" w:sz="4" w:space="0" w:color="auto"/>
            </w:tcBorders>
          </w:tcPr>
          <w:p w:rsidR="00BE50DA" w:rsidRPr="00AE3251" w:rsidRDefault="00BE50DA" w:rsidP="00060F0B">
            <w:pPr>
              <w:jc w:val="center"/>
              <w:rPr>
                <w:sz w:val="18"/>
                <w:szCs w:val="20"/>
              </w:rPr>
            </w:pPr>
          </w:p>
        </w:tc>
        <w:tc>
          <w:tcPr>
            <w:tcW w:w="1020" w:type="dxa"/>
            <w:tcBorders>
              <w:top w:val="single" w:sz="4" w:space="0" w:color="auto"/>
            </w:tcBorders>
            <w:vAlign w:val="center"/>
          </w:tcPr>
          <w:p w:rsidR="00BE50DA" w:rsidRPr="00AE3251" w:rsidRDefault="00BE50DA" w:rsidP="00060F0B">
            <w:pPr>
              <w:jc w:val="center"/>
              <w:rPr>
                <w:sz w:val="18"/>
                <w:szCs w:val="20"/>
              </w:rPr>
            </w:pPr>
          </w:p>
        </w:tc>
        <w:tc>
          <w:tcPr>
            <w:tcW w:w="1020" w:type="dxa"/>
            <w:vMerge w:val="restart"/>
            <w:tcBorders>
              <w:top w:val="single" w:sz="4" w:space="0" w:color="auto"/>
              <w:bottom w:val="single" w:sz="4" w:space="0" w:color="auto"/>
            </w:tcBorders>
            <w:vAlign w:val="center"/>
          </w:tcPr>
          <w:p w:rsidR="00BE50DA" w:rsidRPr="00AE3251" w:rsidRDefault="00BE50DA" w:rsidP="00060F0B">
            <w:pPr>
              <w:jc w:val="center"/>
              <w:rPr>
                <w:sz w:val="18"/>
                <w:szCs w:val="20"/>
              </w:rPr>
            </w:pPr>
            <w:r w:rsidRPr="00AE3251">
              <w:rPr>
                <w:sz w:val="18"/>
                <w:szCs w:val="20"/>
              </w:rPr>
              <w:t>Mean</w:t>
            </w:r>
          </w:p>
          <w:p w:rsidR="00BE50DA" w:rsidRPr="00AE3251" w:rsidRDefault="00BE50DA" w:rsidP="00060F0B">
            <w:pPr>
              <w:jc w:val="center"/>
              <w:rPr>
                <w:rFonts w:ascii="Calibri" w:hAnsi="Calibri"/>
                <w:color w:val="000000"/>
                <w:sz w:val="18"/>
              </w:rPr>
            </w:pPr>
            <w:r w:rsidRPr="00AE3251">
              <w:rPr>
                <w:sz w:val="18"/>
                <w:szCs w:val="20"/>
              </w:rPr>
              <w:t>Return</w:t>
            </w:r>
          </w:p>
        </w:tc>
        <w:tc>
          <w:tcPr>
            <w:tcW w:w="236" w:type="dxa"/>
            <w:tcBorders>
              <w:top w:val="single" w:sz="4" w:space="0" w:color="auto"/>
            </w:tcBorders>
          </w:tcPr>
          <w:p w:rsidR="00BE50DA" w:rsidRPr="00AE3251" w:rsidRDefault="00BE50DA" w:rsidP="00060F0B">
            <w:pPr>
              <w:jc w:val="center"/>
              <w:rPr>
                <w:rFonts w:ascii="Calibri" w:hAnsi="Calibri"/>
                <w:color w:val="000000"/>
                <w:sz w:val="18"/>
              </w:rPr>
            </w:pPr>
          </w:p>
        </w:tc>
        <w:tc>
          <w:tcPr>
            <w:tcW w:w="1020" w:type="dxa"/>
            <w:vMerge w:val="restart"/>
            <w:tcBorders>
              <w:top w:val="single" w:sz="4" w:space="0" w:color="auto"/>
              <w:bottom w:val="single" w:sz="4" w:space="0" w:color="auto"/>
            </w:tcBorders>
            <w:vAlign w:val="center"/>
          </w:tcPr>
          <w:p w:rsidR="00BE50DA" w:rsidRPr="00AE3251" w:rsidRDefault="00BE50DA" w:rsidP="00060F0B">
            <w:pPr>
              <w:jc w:val="center"/>
              <w:rPr>
                <w:rFonts w:ascii="Calibri" w:hAnsi="Calibri"/>
                <w:color w:val="000000"/>
                <w:sz w:val="18"/>
              </w:rPr>
            </w:pPr>
            <w:r w:rsidRPr="00AE3251">
              <w:rPr>
                <w:sz w:val="18"/>
                <w:szCs w:val="20"/>
              </w:rPr>
              <w:t>Standard Deviation</w:t>
            </w:r>
          </w:p>
        </w:tc>
        <w:tc>
          <w:tcPr>
            <w:tcW w:w="236" w:type="dxa"/>
            <w:tcBorders>
              <w:top w:val="single" w:sz="4" w:space="0" w:color="auto"/>
            </w:tcBorders>
          </w:tcPr>
          <w:p w:rsidR="00BE50DA" w:rsidRPr="00AE3251" w:rsidRDefault="00BE50DA" w:rsidP="00060F0B">
            <w:pPr>
              <w:jc w:val="center"/>
              <w:rPr>
                <w:rFonts w:ascii="Calibri" w:hAnsi="Calibri"/>
                <w:color w:val="000000"/>
                <w:sz w:val="18"/>
              </w:rPr>
            </w:pPr>
          </w:p>
        </w:tc>
        <w:tc>
          <w:tcPr>
            <w:tcW w:w="3060" w:type="dxa"/>
            <w:gridSpan w:val="3"/>
            <w:tcBorders>
              <w:top w:val="single" w:sz="4" w:space="0" w:color="auto"/>
            </w:tcBorders>
            <w:vAlign w:val="center"/>
          </w:tcPr>
          <w:p w:rsidR="00BE50DA" w:rsidRPr="00AE3251" w:rsidRDefault="00BE50DA" w:rsidP="00060F0B">
            <w:pPr>
              <w:jc w:val="center"/>
              <w:rPr>
                <w:rFonts w:ascii="Calibri" w:hAnsi="Calibri"/>
                <w:color w:val="000000"/>
                <w:sz w:val="18"/>
              </w:rPr>
            </w:pPr>
            <w:r w:rsidRPr="00AE3251">
              <w:rPr>
                <w:sz w:val="18"/>
                <w:szCs w:val="20"/>
              </w:rPr>
              <w:t>Correlations</w:t>
            </w:r>
          </w:p>
        </w:tc>
      </w:tr>
      <w:tr w:rsidR="00BE50DA" w:rsidRPr="00AE3251" w:rsidTr="00060F0B">
        <w:trPr>
          <w:trHeight w:val="20"/>
          <w:jc w:val="center"/>
        </w:trPr>
        <w:tc>
          <w:tcPr>
            <w:tcW w:w="1018" w:type="dxa"/>
            <w:vAlign w:val="center"/>
          </w:tcPr>
          <w:p w:rsidR="00BE50DA" w:rsidRPr="00AE3251" w:rsidRDefault="00BE50DA" w:rsidP="00060F0B">
            <w:pPr>
              <w:jc w:val="center"/>
              <w:rPr>
                <w:sz w:val="18"/>
                <w:szCs w:val="20"/>
              </w:rPr>
            </w:pPr>
          </w:p>
        </w:tc>
        <w:tc>
          <w:tcPr>
            <w:tcW w:w="1018" w:type="dxa"/>
            <w:vMerge/>
            <w:tcBorders>
              <w:bottom w:val="single" w:sz="4" w:space="0" w:color="auto"/>
            </w:tcBorders>
            <w:vAlign w:val="center"/>
          </w:tcPr>
          <w:p w:rsidR="00BE50DA" w:rsidRPr="00AE3251" w:rsidRDefault="00BE50DA" w:rsidP="00060F0B">
            <w:pPr>
              <w:jc w:val="center"/>
              <w:rPr>
                <w:rFonts w:ascii="Calibri" w:hAnsi="Calibri"/>
                <w:color w:val="000000"/>
                <w:sz w:val="18"/>
              </w:rPr>
            </w:pPr>
          </w:p>
        </w:tc>
        <w:tc>
          <w:tcPr>
            <w:tcW w:w="236" w:type="dxa"/>
          </w:tcPr>
          <w:p w:rsidR="00BE50DA" w:rsidRPr="00AE3251" w:rsidRDefault="00BE50DA" w:rsidP="00060F0B">
            <w:pPr>
              <w:jc w:val="center"/>
              <w:rPr>
                <w:rFonts w:ascii="Calibri" w:hAnsi="Calibri"/>
                <w:color w:val="000000"/>
                <w:sz w:val="18"/>
              </w:rPr>
            </w:pPr>
          </w:p>
        </w:tc>
        <w:tc>
          <w:tcPr>
            <w:tcW w:w="1018" w:type="dxa"/>
            <w:vMerge/>
            <w:tcBorders>
              <w:bottom w:val="single" w:sz="4" w:space="0" w:color="auto"/>
            </w:tcBorders>
            <w:vAlign w:val="center"/>
          </w:tcPr>
          <w:p w:rsidR="00BE50DA" w:rsidRPr="00AE3251" w:rsidRDefault="00BE50DA" w:rsidP="00060F0B">
            <w:pPr>
              <w:jc w:val="center"/>
              <w:rPr>
                <w:rFonts w:ascii="Calibri" w:hAnsi="Calibri"/>
                <w:color w:val="000000"/>
                <w:sz w:val="18"/>
              </w:rPr>
            </w:pPr>
          </w:p>
        </w:tc>
        <w:tc>
          <w:tcPr>
            <w:tcW w:w="236" w:type="dxa"/>
          </w:tcPr>
          <w:p w:rsidR="00BE50DA" w:rsidRPr="00AE3251" w:rsidRDefault="00BE50DA" w:rsidP="00060F0B">
            <w:pPr>
              <w:jc w:val="center"/>
              <w:rPr>
                <w:rFonts w:ascii="Calibri" w:hAnsi="Calibri"/>
                <w:color w:val="000000"/>
                <w:sz w:val="18"/>
              </w:rPr>
            </w:pPr>
          </w:p>
        </w:tc>
        <w:tc>
          <w:tcPr>
            <w:tcW w:w="1019" w:type="dxa"/>
            <w:tcBorders>
              <w:bottom w:val="single" w:sz="4" w:space="0" w:color="auto"/>
            </w:tcBorders>
            <w:vAlign w:val="center"/>
          </w:tcPr>
          <w:p w:rsidR="00BE50DA" w:rsidRPr="00AE3251" w:rsidRDefault="00BE50DA" w:rsidP="00060F0B">
            <w:pPr>
              <w:jc w:val="center"/>
              <w:rPr>
                <w:sz w:val="18"/>
                <w:szCs w:val="20"/>
              </w:rPr>
            </w:pPr>
            <w:r w:rsidRPr="00AE3251">
              <w:rPr>
                <w:sz w:val="18"/>
                <w:szCs w:val="20"/>
              </w:rPr>
              <w:t>LR_Stock</w:t>
            </w:r>
          </w:p>
        </w:tc>
        <w:tc>
          <w:tcPr>
            <w:tcW w:w="1019" w:type="dxa"/>
            <w:tcBorders>
              <w:bottom w:val="single" w:sz="4" w:space="0" w:color="auto"/>
            </w:tcBorders>
            <w:vAlign w:val="center"/>
          </w:tcPr>
          <w:p w:rsidR="00BE50DA" w:rsidRPr="00AE3251" w:rsidRDefault="00BE50DA" w:rsidP="00060F0B">
            <w:pPr>
              <w:jc w:val="center"/>
              <w:rPr>
                <w:sz w:val="18"/>
                <w:szCs w:val="20"/>
              </w:rPr>
            </w:pPr>
            <w:r w:rsidRPr="00AE3251">
              <w:rPr>
                <w:sz w:val="18"/>
                <w:szCs w:val="20"/>
              </w:rPr>
              <w:t>HR_Stock</w:t>
            </w:r>
          </w:p>
        </w:tc>
        <w:tc>
          <w:tcPr>
            <w:tcW w:w="1020" w:type="dxa"/>
            <w:tcBorders>
              <w:bottom w:val="single" w:sz="4" w:space="0" w:color="auto"/>
            </w:tcBorders>
            <w:vAlign w:val="center"/>
          </w:tcPr>
          <w:p w:rsidR="00BE50DA" w:rsidRPr="00AE3251" w:rsidRDefault="00BE50DA" w:rsidP="00060F0B">
            <w:pPr>
              <w:jc w:val="center"/>
              <w:rPr>
                <w:sz w:val="18"/>
                <w:szCs w:val="20"/>
              </w:rPr>
            </w:pPr>
            <w:r w:rsidRPr="00AE3251">
              <w:rPr>
                <w:sz w:val="18"/>
                <w:szCs w:val="20"/>
              </w:rPr>
              <w:t>LR_Bond</w:t>
            </w:r>
          </w:p>
        </w:tc>
        <w:tc>
          <w:tcPr>
            <w:tcW w:w="236" w:type="dxa"/>
            <w:tcBorders>
              <w:right w:val="single" w:sz="4" w:space="0" w:color="auto"/>
            </w:tcBorders>
          </w:tcPr>
          <w:p w:rsidR="00BE50DA" w:rsidRPr="00AE3251" w:rsidRDefault="00BE50DA" w:rsidP="00060F0B">
            <w:pPr>
              <w:jc w:val="center"/>
              <w:rPr>
                <w:sz w:val="18"/>
                <w:szCs w:val="20"/>
              </w:rPr>
            </w:pPr>
          </w:p>
        </w:tc>
        <w:tc>
          <w:tcPr>
            <w:tcW w:w="236" w:type="dxa"/>
            <w:tcBorders>
              <w:left w:val="single" w:sz="4" w:space="0" w:color="auto"/>
            </w:tcBorders>
          </w:tcPr>
          <w:p w:rsidR="00BE50DA" w:rsidRPr="00AE3251" w:rsidRDefault="00BE50DA" w:rsidP="00060F0B">
            <w:pPr>
              <w:jc w:val="center"/>
              <w:rPr>
                <w:sz w:val="18"/>
                <w:szCs w:val="20"/>
              </w:rPr>
            </w:pPr>
          </w:p>
        </w:tc>
        <w:tc>
          <w:tcPr>
            <w:tcW w:w="1020" w:type="dxa"/>
            <w:vAlign w:val="center"/>
          </w:tcPr>
          <w:p w:rsidR="00BE50DA" w:rsidRPr="00AE3251" w:rsidRDefault="00BE50DA" w:rsidP="00060F0B">
            <w:pPr>
              <w:jc w:val="center"/>
              <w:rPr>
                <w:sz w:val="18"/>
                <w:szCs w:val="20"/>
              </w:rPr>
            </w:pPr>
          </w:p>
        </w:tc>
        <w:tc>
          <w:tcPr>
            <w:tcW w:w="1020" w:type="dxa"/>
            <w:vMerge/>
            <w:tcBorders>
              <w:bottom w:val="single" w:sz="4" w:space="0" w:color="auto"/>
            </w:tcBorders>
            <w:vAlign w:val="center"/>
          </w:tcPr>
          <w:p w:rsidR="00BE50DA" w:rsidRPr="00AE3251" w:rsidRDefault="00BE50DA" w:rsidP="00060F0B">
            <w:pPr>
              <w:jc w:val="center"/>
              <w:rPr>
                <w:rFonts w:ascii="Calibri" w:hAnsi="Calibri"/>
                <w:color w:val="000000"/>
                <w:sz w:val="18"/>
              </w:rPr>
            </w:pPr>
          </w:p>
        </w:tc>
        <w:tc>
          <w:tcPr>
            <w:tcW w:w="236" w:type="dxa"/>
          </w:tcPr>
          <w:p w:rsidR="00BE50DA" w:rsidRPr="00AE3251" w:rsidRDefault="00BE50DA" w:rsidP="00060F0B">
            <w:pPr>
              <w:jc w:val="center"/>
              <w:rPr>
                <w:rFonts w:ascii="Calibri" w:hAnsi="Calibri"/>
                <w:color w:val="000000"/>
                <w:sz w:val="18"/>
              </w:rPr>
            </w:pPr>
          </w:p>
        </w:tc>
        <w:tc>
          <w:tcPr>
            <w:tcW w:w="1020" w:type="dxa"/>
            <w:vMerge/>
            <w:tcBorders>
              <w:bottom w:val="single" w:sz="4" w:space="0" w:color="auto"/>
            </w:tcBorders>
            <w:vAlign w:val="center"/>
          </w:tcPr>
          <w:p w:rsidR="00BE50DA" w:rsidRPr="00AE3251" w:rsidRDefault="00BE50DA" w:rsidP="00060F0B">
            <w:pPr>
              <w:jc w:val="center"/>
              <w:rPr>
                <w:rFonts w:ascii="Calibri" w:hAnsi="Calibri"/>
                <w:color w:val="000000"/>
                <w:sz w:val="18"/>
              </w:rPr>
            </w:pPr>
          </w:p>
        </w:tc>
        <w:tc>
          <w:tcPr>
            <w:tcW w:w="236" w:type="dxa"/>
          </w:tcPr>
          <w:p w:rsidR="00BE50DA" w:rsidRPr="00AE3251" w:rsidRDefault="00BE50DA" w:rsidP="00060F0B">
            <w:pPr>
              <w:jc w:val="center"/>
              <w:rPr>
                <w:rFonts w:ascii="Calibri" w:hAnsi="Calibri"/>
                <w:color w:val="000000"/>
                <w:sz w:val="18"/>
              </w:rPr>
            </w:pPr>
          </w:p>
        </w:tc>
        <w:tc>
          <w:tcPr>
            <w:tcW w:w="1020" w:type="dxa"/>
            <w:tcBorders>
              <w:bottom w:val="single" w:sz="4" w:space="0" w:color="auto"/>
            </w:tcBorders>
            <w:vAlign w:val="center"/>
          </w:tcPr>
          <w:p w:rsidR="00BE50DA" w:rsidRPr="00AE3251" w:rsidRDefault="00BE50DA" w:rsidP="00060F0B">
            <w:pPr>
              <w:jc w:val="center"/>
              <w:rPr>
                <w:sz w:val="18"/>
                <w:szCs w:val="20"/>
              </w:rPr>
            </w:pPr>
            <w:r w:rsidRPr="00AE3251">
              <w:rPr>
                <w:sz w:val="18"/>
                <w:szCs w:val="20"/>
              </w:rPr>
              <w:t>LR_Stock</w:t>
            </w:r>
          </w:p>
        </w:tc>
        <w:tc>
          <w:tcPr>
            <w:tcW w:w="1020" w:type="dxa"/>
            <w:tcBorders>
              <w:bottom w:val="single" w:sz="4" w:space="0" w:color="auto"/>
            </w:tcBorders>
            <w:vAlign w:val="center"/>
          </w:tcPr>
          <w:p w:rsidR="00BE50DA" w:rsidRPr="00AE3251" w:rsidRDefault="00BE50DA" w:rsidP="00060F0B">
            <w:pPr>
              <w:jc w:val="center"/>
              <w:rPr>
                <w:sz w:val="18"/>
                <w:szCs w:val="20"/>
              </w:rPr>
            </w:pPr>
            <w:r w:rsidRPr="00AE3251">
              <w:rPr>
                <w:sz w:val="18"/>
                <w:szCs w:val="20"/>
              </w:rPr>
              <w:t>HR_Stock</w:t>
            </w:r>
          </w:p>
        </w:tc>
        <w:tc>
          <w:tcPr>
            <w:tcW w:w="1020" w:type="dxa"/>
            <w:tcBorders>
              <w:bottom w:val="single" w:sz="4" w:space="0" w:color="auto"/>
            </w:tcBorders>
            <w:vAlign w:val="center"/>
          </w:tcPr>
          <w:p w:rsidR="00BE50DA" w:rsidRPr="00AE3251" w:rsidRDefault="00BE50DA" w:rsidP="00060F0B">
            <w:pPr>
              <w:jc w:val="center"/>
              <w:rPr>
                <w:sz w:val="18"/>
                <w:szCs w:val="20"/>
              </w:rPr>
            </w:pPr>
            <w:r w:rsidRPr="00AE3251">
              <w:rPr>
                <w:sz w:val="18"/>
                <w:szCs w:val="20"/>
              </w:rPr>
              <w:t>LR_Bond</w:t>
            </w:r>
          </w:p>
        </w:tc>
      </w:tr>
      <w:tr w:rsidR="00BE50DA" w:rsidRPr="00AE3251" w:rsidTr="00060F0B">
        <w:trPr>
          <w:trHeight w:val="20"/>
          <w:jc w:val="center"/>
        </w:trPr>
        <w:tc>
          <w:tcPr>
            <w:tcW w:w="1018" w:type="dxa"/>
            <w:vAlign w:val="center"/>
          </w:tcPr>
          <w:p w:rsidR="00BE50DA" w:rsidRPr="00AE3251" w:rsidRDefault="00BE50DA" w:rsidP="00060F0B">
            <w:pPr>
              <w:jc w:val="center"/>
              <w:rPr>
                <w:sz w:val="18"/>
                <w:szCs w:val="20"/>
              </w:rPr>
            </w:pPr>
            <w:r w:rsidRPr="00AE3251">
              <w:rPr>
                <w:sz w:val="18"/>
                <w:szCs w:val="20"/>
              </w:rPr>
              <w:t>LR_Stock</w:t>
            </w:r>
          </w:p>
        </w:tc>
        <w:tc>
          <w:tcPr>
            <w:tcW w:w="1018" w:type="dxa"/>
            <w:tcBorders>
              <w:top w:val="single" w:sz="4" w:space="0" w:color="auto"/>
            </w:tcBorders>
            <w:vAlign w:val="center"/>
          </w:tcPr>
          <w:p w:rsidR="00BE50DA" w:rsidRPr="00AE3251" w:rsidRDefault="00BE50DA" w:rsidP="00060F0B">
            <w:pPr>
              <w:jc w:val="center"/>
              <w:rPr>
                <w:rFonts w:ascii="Calibri" w:hAnsi="Calibri"/>
                <w:color w:val="000000"/>
                <w:sz w:val="18"/>
              </w:rPr>
            </w:pPr>
            <w:r w:rsidRPr="00AE3251">
              <w:rPr>
                <w:rFonts w:ascii="Calibri" w:hAnsi="Calibri"/>
                <w:color w:val="000000"/>
                <w:sz w:val="18"/>
              </w:rPr>
              <w:t>-0.8%</w:t>
            </w:r>
          </w:p>
        </w:tc>
        <w:tc>
          <w:tcPr>
            <w:tcW w:w="236" w:type="dxa"/>
          </w:tcPr>
          <w:p w:rsidR="00BE50DA" w:rsidRPr="00AE3251" w:rsidRDefault="00BE50DA" w:rsidP="00060F0B">
            <w:pPr>
              <w:jc w:val="center"/>
              <w:rPr>
                <w:rFonts w:ascii="Calibri" w:hAnsi="Calibri"/>
                <w:color w:val="000000"/>
                <w:sz w:val="18"/>
              </w:rPr>
            </w:pPr>
          </w:p>
        </w:tc>
        <w:tc>
          <w:tcPr>
            <w:tcW w:w="1018" w:type="dxa"/>
            <w:tcBorders>
              <w:top w:val="single" w:sz="4" w:space="0" w:color="auto"/>
            </w:tcBorders>
            <w:vAlign w:val="center"/>
          </w:tcPr>
          <w:p w:rsidR="00BE50DA" w:rsidRPr="00AE3251" w:rsidRDefault="00BE50DA" w:rsidP="00060F0B">
            <w:pPr>
              <w:jc w:val="center"/>
              <w:rPr>
                <w:rFonts w:ascii="Calibri" w:hAnsi="Calibri"/>
                <w:color w:val="000000"/>
                <w:sz w:val="18"/>
              </w:rPr>
            </w:pPr>
            <w:r w:rsidRPr="00AE3251">
              <w:rPr>
                <w:rFonts w:ascii="Calibri" w:hAnsi="Calibri"/>
                <w:color w:val="000000"/>
                <w:sz w:val="18"/>
              </w:rPr>
              <w:t>26.8%</w:t>
            </w:r>
          </w:p>
        </w:tc>
        <w:tc>
          <w:tcPr>
            <w:tcW w:w="236" w:type="dxa"/>
          </w:tcPr>
          <w:p w:rsidR="00BE50DA" w:rsidRPr="00AE3251" w:rsidRDefault="00BE50DA" w:rsidP="00060F0B">
            <w:pPr>
              <w:jc w:val="center"/>
              <w:rPr>
                <w:rFonts w:ascii="Calibri" w:hAnsi="Calibri"/>
                <w:color w:val="000000"/>
                <w:sz w:val="18"/>
              </w:rPr>
            </w:pPr>
          </w:p>
        </w:tc>
        <w:tc>
          <w:tcPr>
            <w:tcW w:w="1019" w:type="dxa"/>
            <w:tcBorders>
              <w:top w:val="single" w:sz="4" w:space="0" w:color="auto"/>
            </w:tcBorders>
            <w:vAlign w:val="center"/>
          </w:tcPr>
          <w:p w:rsidR="00BE50DA" w:rsidRPr="00AE3251" w:rsidRDefault="00BE50DA" w:rsidP="00060F0B">
            <w:pPr>
              <w:jc w:val="center"/>
              <w:rPr>
                <w:rFonts w:ascii="Calibri" w:hAnsi="Calibri"/>
                <w:color w:val="000000"/>
                <w:sz w:val="18"/>
              </w:rPr>
            </w:pPr>
          </w:p>
        </w:tc>
        <w:tc>
          <w:tcPr>
            <w:tcW w:w="1019" w:type="dxa"/>
            <w:tcBorders>
              <w:top w:val="single" w:sz="4" w:space="0" w:color="auto"/>
            </w:tcBorders>
            <w:vAlign w:val="center"/>
          </w:tcPr>
          <w:p w:rsidR="00BE50DA" w:rsidRPr="00AE3251" w:rsidRDefault="00BE50DA" w:rsidP="00060F0B">
            <w:pPr>
              <w:jc w:val="center"/>
              <w:rPr>
                <w:rFonts w:ascii="Calibri" w:hAnsi="Calibri"/>
                <w:color w:val="000000"/>
                <w:sz w:val="18"/>
              </w:rPr>
            </w:pPr>
          </w:p>
        </w:tc>
        <w:tc>
          <w:tcPr>
            <w:tcW w:w="1020" w:type="dxa"/>
            <w:tcBorders>
              <w:top w:val="single" w:sz="4" w:space="0" w:color="auto"/>
            </w:tcBorders>
            <w:vAlign w:val="center"/>
          </w:tcPr>
          <w:p w:rsidR="00BE50DA" w:rsidRPr="00AE3251" w:rsidRDefault="00BE50DA" w:rsidP="00060F0B">
            <w:pPr>
              <w:jc w:val="center"/>
              <w:rPr>
                <w:rFonts w:ascii="Calibri" w:hAnsi="Calibri"/>
                <w:color w:val="000000"/>
                <w:sz w:val="18"/>
              </w:rPr>
            </w:pPr>
          </w:p>
        </w:tc>
        <w:tc>
          <w:tcPr>
            <w:tcW w:w="236" w:type="dxa"/>
            <w:tcBorders>
              <w:right w:val="single" w:sz="4" w:space="0" w:color="auto"/>
            </w:tcBorders>
          </w:tcPr>
          <w:p w:rsidR="00BE50DA" w:rsidRPr="00AE3251" w:rsidRDefault="00BE50DA" w:rsidP="00060F0B">
            <w:pPr>
              <w:jc w:val="center"/>
              <w:rPr>
                <w:sz w:val="18"/>
                <w:szCs w:val="20"/>
              </w:rPr>
            </w:pPr>
          </w:p>
        </w:tc>
        <w:tc>
          <w:tcPr>
            <w:tcW w:w="236" w:type="dxa"/>
            <w:tcBorders>
              <w:left w:val="single" w:sz="4" w:space="0" w:color="auto"/>
            </w:tcBorders>
          </w:tcPr>
          <w:p w:rsidR="00BE50DA" w:rsidRPr="00AE3251" w:rsidRDefault="00BE50DA" w:rsidP="00060F0B">
            <w:pPr>
              <w:jc w:val="center"/>
              <w:rPr>
                <w:sz w:val="18"/>
                <w:szCs w:val="20"/>
              </w:rPr>
            </w:pPr>
          </w:p>
        </w:tc>
        <w:tc>
          <w:tcPr>
            <w:tcW w:w="1020" w:type="dxa"/>
            <w:vAlign w:val="center"/>
          </w:tcPr>
          <w:p w:rsidR="00BE50DA" w:rsidRPr="00AE3251" w:rsidRDefault="00BE50DA" w:rsidP="00060F0B">
            <w:pPr>
              <w:jc w:val="center"/>
              <w:rPr>
                <w:sz w:val="18"/>
                <w:szCs w:val="20"/>
              </w:rPr>
            </w:pPr>
            <w:r w:rsidRPr="00AE3251">
              <w:rPr>
                <w:sz w:val="18"/>
                <w:szCs w:val="20"/>
              </w:rPr>
              <w:t>LR_Stock</w:t>
            </w:r>
          </w:p>
        </w:tc>
        <w:tc>
          <w:tcPr>
            <w:tcW w:w="1020" w:type="dxa"/>
            <w:tcBorders>
              <w:top w:val="single" w:sz="4" w:space="0" w:color="auto"/>
            </w:tcBorders>
            <w:vAlign w:val="center"/>
          </w:tcPr>
          <w:p w:rsidR="00BE50DA" w:rsidRPr="00AE3251" w:rsidRDefault="00BE50DA" w:rsidP="00060F0B">
            <w:pPr>
              <w:jc w:val="center"/>
              <w:rPr>
                <w:rFonts w:ascii="Calibri" w:hAnsi="Calibri"/>
                <w:color w:val="000000"/>
                <w:sz w:val="18"/>
              </w:rPr>
            </w:pPr>
            <w:r w:rsidRPr="00AE3251">
              <w:rPr>
                <w:rFonts w:ascii="Calibri" w:hAnsi="Calibri"/>
                <w:color w:val="000000"/>
                <w:sz w:val="18"/>
              </w:rPr>
              <w:t>18.6%</w:t>
            </w:r>
          </w:p>
        </w:tc>
        <w:tc>
          <w:tcPr>
            <w:tcW w:w="236" w:type="dxa"/>
          </w:tcPr>
          <w:p w:rsidR="00BE50DA" w:rsidRPr="00AE3251" w:rsidRDefault="00BE50DA" w:rsidP="00060F0B">
            <w:pPr>
              <w:jc w:val="center"/>
              <w:rPr>
                <w:rFonts w:ascii="Calibri" w:hAnsi="Calibri"/>
                <w:color w:val="000000"/>
                <w:sz w:val="18"/>
              </w:rPr>
            </w:pPr>
          </w:p>
        </w:tc>
        <w:tc>
          <w:tcPr>
            <w:tcW w:w="1020" w:type="dxa"/>
            <w:tcBorders>
              <w:top w:val="single" w:sz="4" w:space="0" w:color="auto"/>
            </w:tcBorders>
            <w:vAlign w:val="center"/>
          </w:tcPr>
          <w:p w:rsidR="00BE50DA" w:rsidRPr="00AE3251" w:rsidRDefault="00BE50DA" w:rsidP="00060F0B">
            <w:pPr>
              <w:jc w:val="center"/>
              <w:rPr>
                <w:rFonts w:ascii="Calibri" w:hAnsi="Calibri"/>
                <w:color w:val="000000"/>
                <w:sz w:val="18"/>
              </w:rPr>
            </w:pPr>
            <w:r w:rsidRPr="00AE3251">
              <w:rPr>
                <w:rFonts w:ascii="Calibri" w:hAnsi="Calibri"/>
                <w:color w:val="000000"/>
                <w:sz w:val="18"/>
              </w:rPr>
              <w:t>18.7%</w:t>
            </w:r>
          </w:p>
        </w:tc>
        <w:tc>
          <w:tcPr>
            <w:tcW w:w="236" w:type="dxa"/>
          </w:tcPr>
          <w:p w:rsidR="00BE50DA" w:rsidRPr="00AE3251" w:rsidRDefault="00BE50DA" w:rsidP="00060F0B">
            <w:pPr>
              <w:jc w:val="center"/>
              <w:rPr>
                <w:rFonts w:ascii="Calibri" w:hAnsi="Calibri"/>
                <w:color w:val="000000"/>
                <w:sz w:val="18"/>
              </w:rPr>
            </w:pPr>
          </w:p>
        </w:tc>
        <w:tc>
          <w:tcPr>
            <w:tcW w:w="1020" w:type="dxa"/>
            <w:tcBorders>
              <w:top w:val="single" w:sz="4" w:space="0" w:color="auto"/>
            </w:tcBorders>
            <w:vAlign w:val="center"/>
          </w:tcPr>
          <w:p w:rsidR="00BE50DA" w:rsidRPr="00AE3251" w:rsidRDefault="00BE50DA" w:rsidP="00060F0B">
            <w:pPr>
              <w:jc w:val="center"/>
              <w:rPr>
                <w:rFonts w:ascii="Calibri" w:hAnsi="Calibri"/>
                <w:color w:val="000000"/>
                <w:sz w:val="18"/>
              </w:rPr>
            </w:pPr>
          </w:p>
        </w:tc>
        <w:tc>
          <w:tcPr>
            <w:tcW w:w="1020" w:type="dxa"/>
            <w:tcBorders>
              <w:top w:val="single" w:sz="4" w:space="0" w:color="auto"/>
            </w:tcBorders>
            <w:vAlign w:val="center"/>
          </w:tcPr>
          <w:p w:rsidR="00BE50DA" w:rsidRPr="00AE3251" w:rsidRDefault="00BE50DA" w:rsidP="00060F0B">
            <w:pPr>
              <w:jc w:val="center"/>
              <w:rPr>
                <w:rFonts w:ascii="Calibri" w:hAnsi="Calibri"/>
                <w:color w:val="000000"/>
                <w:sz w:val="18"/>
              </w:rPr>
            </w:pPr>
          </w:p>
        </w:tc>
        <w:tc>
          <w:tcPr>
            <w:tcW w:w="1020" w:type="dxa"/>
            <w:tcBorders>
              <w:top w:val="single" w:sz="4" w:space="0" w:color="auto"/>
            </w:tcBorders>
            <w:vAlign w:val="center"/>
          </w:tcPr>
          <w:p w:rsidR="00BE50DA" w:rsidRPr="00AE3251" w:rsidRDefault="00BE50DA" w:rsidP="00060F0B">
            <w:pPr>
              <w:jc w:val="center"/>
              <w:rPr>
                <w:rFonts w:ascii="Calibri" w:hAnsi="Calibri"/>
                <w:color w:val="000000"/>
                <w:sz w:val="18"/>
              </w:rPr>
            </w:pPr>
          </w:p>
        </w:tc>
      </w:tr>
      <w:tr w:rsidR="00BE50DA" w:rsidRPr="00AE3251" w:rsidTr="00060F0B">
        <w:trPr>
          <w:trHeight w:val="20"/>
          <w:jc w:val="center"/>
        </w:trPr>
        <w:tc>
          <w:tcPr>
            <w:tcW w:w="1018" w:type="dxa"/>
            <w:vAlign w:val="center"/>
          </w:tcPr>
          <w:p w:rsidR="00BE50DA" w:rsidRPr="00AE3251" w:rsidRDefault="00BE50DA" w:rsidP="00060F0B">
            <w:pPr>
              <w:jc w:val="center"/>
              <w:rPr>
                <w:sz w:val="18"/>
                <w:szCs w:val="20"/>
              </w:rPr>
            </w:pPr>
            <w:r w:rsidRPr="00AE3251">
              <w:rPr>
                <w:sz w:val="18"/>
                <w:szCs w:val="20"/>
              </w:rPr>
              <w:t>HR_Stock</w:t>
            </w:r>
          </w:p>
        </w:tc>
        <w:tc>
          <w:tcPr>
            <w:tcW w:w="1018" w:type="dxa"/>
            <w:vAlign w:val="center"/>
          </w:tcPr>
          <w:p w:rsidR="00BE50DA" w:rsidRPr="00AE3251" w:rsidRDefault="00BE50DA" w:rsidP="00060F0B">
            <w:pPr>
              <w:jc w:val="center"/>
              <w:rPr>
                <w:rFonts w:ascii="Calibri" w:hAnsi="Calibri"/>
                <w:color w:val="000000"/>
                <w:sz w:val="18"/>
              </w:rPr>
            </w:pPr>
            <w:r w:rsidRPr="00AE3251">
              <w:rPr>
                <w:rFonts w:ascii="Calibri" w:hAnsi="Calibri"/>
                <w:color w:val="000000"/>
                <w:sz w:val="18"/>
              </w:rPr>
              <w:t>-22.0%</w:t>
            </w:r>
          </w:p>
        </w:tc>
        <w:tc>
          <w:tcPr>
            <w:tcW w:w="236" w:type="dxa"/>
          </w:tcPr>
          <w:p w:rsidR="00BE50DA" w:rsidRPr="00AE3251" w:rsidRDefault="00BE50DA" w:rsidP="00060F0B">
            <w:pPr>
              <w:jc w:val="center"/>
              <w:rPr>
                <w:rFonts w:ascii="Calibri" w:hAnsi="Calibri"/>
                <w:color w:val="000000"/>
                <w:sz w:val="18"/>
              </w:rPr>
            </w:pPr>
          </w:p>
        </w:tc>
        <w:tc>
          <w:tcPr>
            <w:tcW w:w="1018" w:type="dxa"/>
            <w:vAlign w:val="center"/>
          </w:tcPr>
          <w:p w:rsidR="00BE50DA" w:rsidRPr="00AE3251" w:rsidRDefault="00BE50DA" w:rsidP="00060F0B">
            <w:pPr>
              <w:jc w:val="center"/>
              <w:rPr>
                <w:rFonts w:ascii="Calibri" w:hAnsi="Calibri"/>
                <w:color w:val="000000"/>
                <w:sz w:val="18"/>
              </w:rPr>
            </w:pPr>
            <w:r w:rsidRPr="00AE3251">
              <w:rPr>
                <w:rFonts w:ascii="Calibri" w:hAnsi="Calibri"/>
                <w:color w:val="000000"/>
                <w:sz w:val="18"/>
              </w:rPr>
              <w:t>28.8%</w:t>
            </w:r>
          </w:p>
        </w:tc>
        <w:tc>
          <w:tcPr>
            <w:tcW w:w="236" w:type="dxa"/>
          </w:tcPr>
          <w:p w:rsidR="00BE50DA" w:rsidRPr="00AE3251" w:rsidRDefault="00BE50DA" w:rsidP="00060F0B">
            <w:pPr>
              <w:jc w:val="center"/>
              <w:rPr>
                <w:rFonts w:ascii="Calibri" w:hAnsi="Calibri"/>
                <w:color w:val="000000"/>
                <w:sz w:val="18"/>
              </w:rPr>
            </w:pPr>
          </w:p>
        </w:tc>
        <w:tc>
          <w:tcPr>
            <w:tcW w:w="1019" w:type="dxa"/>
            <w:vAlign w:val="center"/>
          </w:tcPr>
          <w:p w:rsidR="00BE50DA" w:rsidRPr="00AE3251" w:rsidRDefault="00BE50DA" w:rsidP="00060F0B">
            <w:pPr>
              <w:jc w:val="center"/>
              <w:rPr>
                <w:rFonts w:ascii="Calibri" w:hAnsi="Calibri"/>
                <w:color w:val="000000"/>
                <w:sz w:val="18"/>
              </w:rPr>
            </w:pPr>
            <w:r w:rsidRPr="00AE3251">
              <w:rPr>
                <w:rFonts w:ascii="Calibri" w:hAnsi="Calibri"/>
                <w:color w:val="548DD4" w:themeColor="text2" w:themeTint="99"/>
                <w:sz w:val="18"/>
              </w:rPr>
              <w:t>87%</w:t>
            </w:r>
          </w:p>
        </w:tc>
        <w:tc>
          <w:tcPr>
            <w:tcW w:w="1019" w:type="dxa"/>
            <w:vAlign w:val="center"/>
          </w:tcPr>
          <w:p w:rsidR="00BE50DA" w:rsidRPr="00AE3251" w:rsidRDefault="00BE50DA" w:rsidP="00060F0B">
            <w:pPr>
              <w:jc w:val="center"/>
              <w:rPr>
                <w:rFonts w:ascii="Calibri" w:hAnsi="Calibri"/>
                <w:color w:val="000000"/>
                <w:sz w:val="18"/>
              </w:rPr>
            </w:pPr>
          </w:p>
        </w:tc>
        <w:tc>
          <w:tcPr>
            <w:tcW w:w="1020" w:type="dxa"/>
            <w:vAlign w:val="center"/>
          </w:tcPr>
          <w:p w:rsidR="00BE50DA" w:rsidRPr="00AE3251" w:rsidRDefault="00BE50DA" w:rsidP="00060F0B">
            <w:pPr>
              <w:jc w:val="center"/>
              <w:rPr>
                <w:rFonts w:ascii="Calibri" w:hAnsi="Calibri"/>
                <w:color w:val="000000"/>
                <w:sz w:val="18"/>
              </w:rPr>
            </w:pPr>
          </w:p>
        </w:tc>
        <w:tc>
          <w:tcPr>
            <w:tcW w:w="236" w:type="dxa"/>
            <w:tcBorders>
              <w:right w:val="single" w:sz="4" w:space="0" w:color="auto"/>
            </w:tcBorders>
          </w:tcPr>
          <w:p w:rsidR="00BE50DA" w:rsidRPr="00AE3251" w:rsidRDefault="00BE50DA" w:rsidP="00060F0B">
            <w:pPr>
              <w:jc w:val="center"/>
              <w:rPr>
                <w:sz w:val="18"/>
                <w:szCs w:val="20"/>
              </w:rPr>
            </w:pPr>
          </w:p>
        </w:tc>
        <w:tc>
          <w:tcPr>
            <w:tcW w:w="236" w:type="dxa"/>
            <w:tcBorders>
              <w:left w:val="single" w:sz="4" w:space="0" w:color="auto"/>
            </w:tcBorders>
          </w:tcPr>
          <w:p w:rsidR="00BE50DA" w:rsidRPr="00AE3251" w:rsidRDefault="00BE50DA" w:rsidP="00060F0B">
            <w:pPr>
              <w:jc w:val="center"/>
              <w:rPr>
                <w:sz w:val="18"/>
                <w:szCs w:val="20"/>
              </w:rPr>
            </w:pPr>
          </w:p>
        </w:tc>
        <w:tc>
          <w:tcPr>
            <w:tcW w:w="1020" w:type="dxa"/>
            <w:vAlign w:val="center"/>
          </w:tcPr>
          <w:p w:rsidR="00BE50DA" w:rsidRPr="00AE3251" w:rsidRDefault="00BE50DA" w:rsidP="00060F0B">
            <w:pPr>
              <w:jc w:val="center"/>
              <w:rPr>
                <w:sz w:val="18"/>
                <w:szCs w:val="20"/>
              </w:rPr>
            </w:pPr>
            <w:r w:rsidRPr="00AE3251">
              <w:rPr>
                <w:sz w:val="18"/>
                <w:szCs w:val="20"/>
              </w:rPr>
              <w:t>HR_Stock</w:t>
            </w:r>
          </w:p>
        </w:tc>
        <w:tc>
          <w:tcPr>
            <w:tcW w:w="1020" w:type="dxa"/>
            <w:vAlign w:val="center"/>
          </w:tcPr>
          <w:p w:rsidR="00BE50DA" w:rsidRPr="00AE3251" w:rsidRDefault="00BE50DA" w:rsidP="00060F0B">
            <w:pPr>
              <w:jc w:val="center"/>
              <w:rPr>
                <w:rFonts w:ascii="Calibri" w:hAnsi="Calibri"/>
                <w:color w:val="000000"/>
                <w:sz w:val="18"/>
              </w:rPr>
            </w:pPr>
            <w:r w:rsidRPr="00AE3251">
              <w:rPr>
                <w:rFonts w:ascii="Calibri" w:hAnsi="Calibri"/>
                <w:color w:val="000000"/>
                <w:sz w:val="18"/>
              </w:rPr>
              <w:t>17.1%</w:t>
            </w:r>
          </w:p>
        </w:tc>
        <w:tc>
          <w:tcPr>
            <w:tcW w:w="236" w:type="dxa"/>
          </w:tcPr>
          <w:p w:rsidR="00BE50DA" w:rsidRPr="00AE3251" w:rsidRDefault="00BE50DA" w:rsidP="00060F0B">
            <w:pPr>
              <w:jc w:val="center"/>
              <w:rPr>
                <w:rFonts w:ascii="Calibri" w:hAnsi="Calibri"/>
                <w:color w:val="000000"/>
                <w:sz w:val="18"/>
              </w:rPr>
            </w:pPr>
          </w:p>
        </w:tc>
        <w:tc>
          <w:tcPr>
            <w:tcW w:w="1020" w:type="dxa"/>
            <w:vAlign w:val="center"/>
          </w:tcPr>
          <w:p w:rsidR="00BE50DA" w:rsidRPr="00AE3251" w:rsidRDefault="00BE50DA" w:rsidP="00060F0B">
            <w:pPr>
              <w:jc w:val="center"/>
              <w:rPr>
                <w:rFonts w:ascii="Calibri" w:hAnsi="Calibri"/>
                <w:color w:val="000000"/>
                <w:sz w:val="18"/>
              </w:rPr>
            </w:pPr>
            <w:r w:rsidRPr="00AE3251">
              <w:rPr>
                <w:rFonts w:ascii="Calibri" w:hAnsi="Calibri"/>
                <w:color w:val="000000"/>
                <w:sz w:val="18"/>
              </w:rPr>
              <w:t>21.5%</w:t>
            </w:r>
          </w:p>
        </w:tc>
        <w:tc>
          <w:tcPr>
            <w:tcW w:w="236" w:type="dxa"/>
          </w:tcPr>
          <w:p w:rsidR="00BE50DA" w:rsidRPr="00AE3251" w:rsidRDefault="00BE50DA" w:rsidP="00060F0B">
            <w:pPr>
              <w:jc w:val="center"/>
              <w:rPr>
                <w:rFonts w:ascii="Calibri" w:hAnsi="Calibri"/>
                <w:color w:val="000000"/>
                <w:sz w:val="18"/>
              </w:rPr>
            </w:pPr>
          </w:p>
        </w:tc>
        <w:tc>
          <w:tcPr>
            <w:tcW w:w="1020" w:type="dxa"/>
            <w:vAlign w:val="center"/>
          </w:tcPr>
          <w:p w:rsidR="00BE50DA" w:rsidRPr="00AE3251" w:rsidRDefault="00BE50DA" w:rsidP="00060F0B">
            <w:pPr>
              <w:jc w:val="center"/>
              <w:rPr>
                <w:rFonts w:ascii="Calibri" w:hAnsi="Calibri"/>
                <w:color w:val="000000"/>
                <w:sz w:val="18"/>
              </w:rPr>
            </w:pPr>
            <w:r w:rsidRPr="00AE3251">
              <w:rPr>
                <w:rFonts w:ascii="Calibri" w:hAnsi="Calibri"/>
                <w:color w:val="548DD4" w:themeColor="text2" w:themeTint="99"/>
                <w:sz w:val="18"/>
              </w:rPr>
              <w:t>77.3%</w:t>
            </w:r>
          </w:p>
        </w:tc>
        <w:tc>
          <w:tcPr>
            <w:tcW w:w="1020" w:type="dxa"/>
            <w:vAlign w:val="center"/>
          </w:tcPr>
          <w:p w:rsidR="00BE50DA" w:rsidRPr="00AE3251" w:rsidRDefault="00BE50DA" w:rsidP="00060F0B">
            <w:pPr>
              <w:jc w:val="center"/>
              <w:rPr>
                <w:rFonts w:ascii="Calibri" w:hAnsi="Calibri"/>
                <w:color w:val="000000"/>
                <w:sz w:val="18"/>
              </w:rPr>
            </w:pPr>
          </w:p>
        </w:tc>
        <w:tc>
          <w:tcPr>
            <w:tcW w:w="1020" w:type="dxa"/>
            <w:vAlign w:val="center"/>
          </w:tcPr>
          <w:p w:rsidR="00BE50DA" w:rsidRPr="00AE3251" w:rsidRDefault="00BE50DA" w:rsidP="00060F0B">
            <w:pPr>
              <w:jc w:val="center"/>
              <w:rPr>
                <w:rFonts w:ascii="Calibri" w:hAnsi="Calibri"/>
                <w:color w:val="000000"/>
                <w:sz w:val="18"/>
              </w:rPr>
            </w:pPr>
          </w:p>
        </w:tc>
      </w:tr>
      <w:tr w:rsidR="00BE50DA" w:rsidRPr="00AE3251" w:rsidTr="00060F0B">
        <w:trPr>
          <w:trHeight w:val="20"/>
          <w:jc w:val="center"/>
        </w:trPr>
        <w:tc>
          <w:tcPr>
            <w:tcW w:w="1018" w:type="dxa"/>
            <w:vAlign w:val="center"/>
          </w:tcPr>
          <w:p w:rsidR="00BE50DA" w:rsidRPr="00AE3251" w:rsidRDefault="00BE50DA" w:rsidP="00060F0B">
            <w:pPr>
              <w:jc w:val="center"/>
              <w:rPr>
                <w:sz w:val="18"/>
                <w:szCs w:val="20"/>
              </w:rPr>
            </w:pPr>
            <w:r w:rsidRPr="00AE3251">
              <w:rPr>
                <w:sz w:val="18"/>
                <w:szCs w:val="20"/>
              </w:rPr>
              <w:t>LR_Bond</w:t>
            </w:r>
          </w:p>
        </w:tc>
        <w:tc>
          <w:tcPr>
            <w:tcW w:w="1018" w:type="dxa"/>
            <w:vAlign w:val="center"/>
          </w:tcPr>
          <w:p w:rsidR="00BE50DA" w:rsidRPr="00AE3251" w:rsidRDefault="00BE50DA" w:rsidP="00060F0B">
            <w:pPr>
              <w:jc w:val="center"/>
              <w:rPr>
                <w:rFonts w:ascii="Calibri" w:hAnsi="Calibri"/>
                <w:color w:val="000000"/>
                <w:sz w:val="18"/>
              </w:rPr>
            </w:pPr>
            <w:r w:rsidRPr="00AE3251">
              <w:rPr>
                <w:rFonts w:ascii="Calibri" w:hAnsi="Calibri"/>
                <w:color w:val="000000"/>
                <w:sz w:val="18"/>
              </w:rPr>
              <w:t>3.0%</w:t>
            </w:r>
          </w:p>
        </w:tc>
        <w:tc>
          <w:tcPr>
            <w:tcW w:w="236" w:type="dxa"/>
          </w:tcPr>
          <w:p w:rsidR="00BE50DA" w:rsidRPr="00AE3251" w:rsidRDefault="00BE50DA" w:rsidP="00060F0B">
            <w:pPr>
              <w:jc w:val="center"/>
              <w:rPr>
                <w:rFonts w:ascii="Calibri" w:hAnsi="Calibri"/>
                <w:color w:val="000000"/>
                <w:sz w:val="18"/>
              </w:rPr>
            </w:pPr>
          </w:p>
        </w:tc>
        <w:tc>
          <w:tcPr>
            <w:tcW w:w="1018" w:type="dxa"/>
            <w:vAlign w:val="center"/>
          </w:tcPr>
          <w:p w:rsidR="00BE50DA" w:rsidRPr="00AE3251" w:rsidRDefault="00BE50DA" w:rsidP="00060F0B">
            <w:pPr>
              <w:jc w:val="center"/>
              <w:rPr>
                <w:rFonts w:ascii="Calibri" w:hAnsi="Calibri"/>
                <w:color w:val="000000"/>
                <w:sz w:val="18"/>
              </w:rPr>
            </w:pPr>
            <w:r w:rsidRPr="00AE3251">
              <w:rPr>
                <w:rFonts w:ascii="Calibri" w:hAnsi="Calibri"/>
                <w:color w:val="000000"/>
                <w:sz w:val="18"/>
              </w:rPr>
              <w:t>5.1%</w:t>
            </w:r>
          </w:p>
        </w:tc>
        <w:tc>
          <w:tcPr>
            <w:tcW w:w="236" w:type="dxa"/>
          </w:tcPr>
          <w:p w:rsidR="00BE50DA" w:rsidRPr="00AE3251" w:rsidRDefault="00BE50DA" w:rsidP="00060F0B">
            <w:pPr>
              <w:jc w:val="center"/>
              <w:rPr>
                <w:rFonts w:ascii="Calibri" w:hAnsi="Calibri"/>
                <w:color w:val="000000"/>
                <w:sz w:val="18"/>
              </w:rPr>
            </w:pPr>
          </w:p>
        </w:tc>
        <w:tc>
          <w:tcPr>
            <w:tcW w:w="1019" w:type="dxa"/>
            <w:vAlign w:val="center"/>
          </w:tcPr>
          <w:p w:rsidR="00BE50DA" w:rsidRPr="00AE3251" w:rsidRDefault="00BE50DA" w:rsidP="00060F0B">
            <w:pPr>
              <w:jc w:val="center"/>
              <w:rPr>
                <w:rFonts w:ascii="Calibri" w:hAnsi="Calibri"/>
                <w:color w:val="FF0000"/>
                <w:sz w:val="18"/>
              </w:rPr>
            </w:pPr>
            <w:r w:rsidRPr="00AE3251">
              <w:rPr>
                <w:rFonts w:ascii="Calibri" w:hAnsi="Calibri"/>
                <w:color w:val="FF0000"/>
                <w:sz w:val="18"/>
              </w:rPr>
              <w:t>-61%</w:t>
            </w:r>
          </w:p>
        </w:tc>
        <w:tc>
          <w:tcPr>
            <w:tcW w:w="1019" w:type="dxa"/>
            <w:vAlign w:val="center"/>
          </w:tcPr>
          <w:p w:rsidR="00BE50DA" w:rsidRPr="00AE3251" w:rsidRDefault="00BE50DA" w:rsidP="00060F0B">
            <w:pPr>
              <w:jc w:val="center"/>
              <w:rPr>
                <w:rFonts w:ascii="Calibri" w:hAnsi="Calibri"/>
                <w:color w:val="FF0000"/>
                <w:sz w:val="18"/>
              </w:rPr>
            </w:pPr>
            <w:r w:rsidRPr="00AE3251">
              <w:rPr>
                <w:rFonts w:ascii="Calibri" w:hAnsi="Calibri"/>
                <w:color w:val="FF0000"/>
                <w:sz w:val="18"/>
              </w:rPr>
              <w:t>-60%</w:t>
            </w:r>
          </w:p>
        </w:tc>
        <w:tc>
          <w:tcPr>
            <w:tcW w:w="1020" w:type="dxa"/>
            <w:vAlign w:val="center"/>
          </w:tcPr>
          <w:p w:rsidR="00BE50DA" w:rsidRPr="00AE3251" w:rsidRDefault="00BE50DA" w:rsidP="00060F0B">
            <w:pPr>
              <w:jc w:val="center"/>
              <w:rPr>
                <w:rFonts w:ascii="Calibri" w:hAnsi="Calibri"/>
                <w:color w:val="000000"/>
                <w:sz w:val="18"/>
              </w:rPr>
            </w:pPr>
          </w:p>
        </w:tc>
        <w:tc>
          <w:tcPr>
            <w:tcW w:w="236" w:type="dxa"/>
            <w:tcBorders>
              <w:right w:val="single" w:sz="4" w:space="0" w:color="auto"/>
            </w:tcBorders>
          </w:tcPr>
          <w:p w:rsidR="00BE50DA" w:rsidRPr="00AE3251" w:rsidRDefault="00BE50DA" w:rsidP="00060F0B">
            <w:pPr>
              <w:jc w:val="center"/>
              <w:rPr>
                <w:sz w:val="18"/>
                <w:szCs w:val="20"/>
              </w:rPr>
            </w:pPr>
          </w:p>
        </w:tc>
        <w:tc>
          <w:tcPr>
            <w:tcW w:w="236" w:type="dxa"/>
            <w:tcBorders>
              <w:left w:val="single" w:sz="4" w:space="0" w:color="auto"/>
            </w:tcBorders>
          </w:tcPr>
          <w:p w:rsidR="00BE50DA" w:rsidRPr="00AE3251" w:rsidRDefault="00BE50DA" w:rsidP="00060F0B">
            <w:pPr>
              <w:jc w:val="center"/>
              <w:rPr>
                <w:sz w:val="18"/>
                <w:szCs w:val="20"/>
              </w:rPr>
            </w:pPr>
          </w:p>
        </w:tc>
        <w:tc>
          <w:tcPr>
            <w:tcW w:w="1020" w:type="dxa"/>
            <w:vAlign w:val="center"/>
          </w:tcPr>
          <w:p w:rsidR="00BE50DA" w:rsidRPr="00AE3251" w:rsidRDefault="00BE50DA" w:rsidP="00060F0B">
            <w:pPr>
              <w:jc w:val="center"/>
              <w:rPr>
                <w:sz w:val="18"/>
                <w:szCs w:val="20"/>
              </w:rPr>
            </w:pPr>
            <w:r w:rsidRPr="00AE3251">
              <w:rPr>
                <w:sz w:val="18"/>
                <w:szCs w:val="20"/>
              </w:rPr>
              <w:t>LR_Bond</w:t>
            </w:r>
          </w:p>
        </w:tc>
        <w:tc>
          <w:tcPr>
            <w:tcW w:w="1020" w:type="dxa"/>
            <w:vAlign w:val="center"/>
          </w:tcPr>
          <w:p w:rsidR="00BE50DA" w:rsidRPr="00AE3251" w:rsidRDefault="00BE50DA" w:rsidP="00060F0B">
            <w:pPr>
              <w:jc w:val="center"/>
              <w:rPr>
                <w:rFonts w:ascii="Calibri" w:hAnsi="Calibri"/>
                <w:color w:val="000000"/>
                <w:sz w:val="18"/>
              </w:rPr>
            </w:pPr>
            <w:r w:rsidRPr="00AE3251">
              <w:rPr>
                <w:rFonts w:ascii="Calibri" w:hAnsi="Calibri"/>
                <w:color w:val="000000"/>
                <w:sz w:val="18"/>
              </w:rPr>
              <w:t>-1.1%</w:t>
            </w:r>
          </w:p>
        </w:tc>
        <w:tc>
          <w:tcPr>
            <w:tcW w:w="236" w:type="dxa"/>
          </w:tcPr>
          <w:p w:rsidR="00BE50DA" w:rsidRPr="00AE3251" w:rsidRDefault="00BE50DA" w:rsidP="00060F0B">
            <w:pPr>
              <w:jc w:val="center"/>
              <w:rPr>
                <w:rFonts w:ascii="Calibri" w:hAnsi="Calibri"/>
                <w:color w:val="000000"/>
                <w:sz w:val="18"/>
              </w:rPr>
            </w:pPr>
          </w:p>
        </w:tc>
        <w:tc>
          <w:tcPr>
            <w:tcW w:w="1020" w:type="dxa"/>
            <w:vAlign w:val="center"/>
          </w:tcPr>
          <w:p w:rsidR="00BE50DA" w:rsidRPr="00AE3251" w:rsidRDefault="00BE50DA" w:rsidP="00060F0B">
            <w:pPr>
              <w:jc w:val="center"/>
              <w:rPr>
                <w:rFonts w:ascii="Calibri" w:hAnsi="Calibri"/>
                <w:color w:val="000000"/>
                <w:sz w:val="18"/>
              </w:rPr>
            </w:pPr>
            <w:r w:rsidRPr="00AE3251">
              <w:rPr>
                <w:rFonts w:ascii="Calibri" w:hAnsi="Calibri"/>
                <w:color w:val="000000"/>
                <w:sz w:val="18"/>
              </w:rPr>
              <w:t>4.3%</w:t>
            </w:r>
          </w:p>
        </w:tc>
        <w:tc>
          <w:tcPr>
            <w:tcW w:w="236" w:type="dxa"/>
          </w:tcPr>
          <w:p w:rsidR="00BE50DA" w:rsidRPr="00AE3251" w:rsidRDefault="00BE50DA" w:rsidP="00060F0B">
            <w:pPr>
              <w:jc w:val="center"/>
              <w:rPr>
                <w:rFonts w:ascii="Calibri" w:hAnsi="Calibri"/>
                <w:color w:val="000000"/>
                <w:sz w:val="18"/>
              </w:rPr>
            </w:pPr>
          </w:p>
        </w:tc>
        <w:tc>
          <w:tcPr>
            <w:tcW w:w="1020" w:type="dxa"/>
            <w:vAlign w:val="center"/>
          </w:tcPr>
          <w:p w:rsidR="00BE50DA" w:rsidRPr="00AE3251" w:rsidRDefault="00BE50DA" w:rsidP="00060F0B">
            <w:pPr>
              <w:jc w:val="center"/>
              <w:rPr>
                <w:rFonts w:ascii="Calibri" w:hAnsi="Calibri"/>
                <w:color w:val="FF0000"/>
                <w:sz w:val="18"/>
              </w:rPr>
            </w:pPr>
            <w:r w:rsidRPr="00AE3251">
              <w:rPr>
                <w:rFonts w:ascii="Calibri" w:hAnsi="Calibri"/>
                <w:color w:val="FF0000"/>
                <w:sz w:val="18"/>
              </w:rPr>
              <w:t>-35.6%</w:t>
            </w:r>
          </w:p>
        </w:tc>
        <w:tc>
          <w:tcPr>
            <w:tcW w:w="1020" w:type="dxa"/>
            <w:vAlign w:val="center"/>
          </w:tcPr>
          <w:p w:rsidR="00BE50DA" w:rsidRPr="00AE3251" w:rsidRDefault="00BE50DA" w:rsidP="00060F0B">
            <w:pPr>
              <w:jc w:val="center"/>
              <w:rPr>
                <w:rFonts w:ascii="Calibri" w:hAnsi="Calibri"/>
                <w:color w:val="FF0000"/>
                <w:sz w:val="18"/>
              </w:rPr>
            </w:pPr>
            <w:r w:rsidRPr="00AE3251">
              <w:rPr>
                <w:rFonts w:ascii="Calibri" w:hAnsi="Calibri"/>
                <w:color w:val="FF0000"/>
                <w:sz w:val="18"/>
              </w:rPr>
              <w:t>-33.5%</w:t>
            </w:r>
          </w:p>
        </w:tc>
        <w:tc>
          <w:tcPr>
            <w:tcW w:w="1020" w:type="dxa"/>
            <w:vAlign w:val="center"/>
          </w:tcPr>
          <w:p w:rsidR="00BE50DA" w:rsidRPr="00AE3251" w:rsidRDefault="00BE50DA" w:rsidP="00060F0B">
            <w:pPr>
              <w:jc w:val="center"/>
              <w:rPr>
                <w:rFonts w:ascii="Calibri" w:hAnsi="Calibri"/>
                <w:color w:val="000000"/>
                <w:sz w:val="18"/>
              </w:rPr>
            </w:pPr>
          </w:p>
        </w:tc>
      </w:tr>
      <w:tr w:rsidR="00BE50DA" w:rsidRPr="00AE3251" w:rsidTr="00060F0B">
        <w:trPr>
          <w:trHeight w:val="20"/>
          <w:jc w:val="center"/>
        </w:trPr>
        <w:tc>
          <w:tcPr>
            <w:tcW w:w="1018" w:type="dxa"/>
            <w:tcBorders>
              <w:bottom w:val="single" w:sz="4" w:space="0" w:color="auto"/>
            </w:tcBorders>
            <w:vAlign w:val="center"/>
          </w:tcPr>
          <w:p w:rsidR="00BE50DA" w:rsidRPr="00AE3251" w:rsidRDefault="00BE50DA" w:rsidP="00060F0B">
            <w:pPr>
              <w:jc w:val="center"/>
              <w:rPr>
                <w:sz w:val="18"/>
                <w:szCs w:val="20"/>
              </w:rPr>
            </w:pPr>
            <w:r w:rsidRPr="00AE3251">
              <w:rPr>
                <w:sz w:val="18"/>
                <w:szCs w:val="20"/>
              </w:rPr>
              <w:t>HR_Bond</w:t>
            </w:r>
          </w:p>
        </w:tc>
        <w:tc>
          <w:tcPr>
            <w:tcW w:w="1018" w:type="dxa"/>
            <w:tcBorders>
              <w:bottom w:val="single" w:sz="4" w:space="0" w:color="auto"/>
            </w:tcBorders>
            <w:vAlign w:val="center"/>
          </w:tcPr>
          <w:p w:rsidR="00BE50DA" w:rsidRPr="00AE3251" w:rsidRDefault="00BE50DA" w:rsidP="00060F0B">
            <w:pPr>
              <w:jc w:val="center"/>
              <w:rPr>
                <w:rFonts w:ascii="Calibri" w:hAnsi="Calibri"/>
                <w:color w:val="000000"/>
                <w:sz w:val="18"/>
              </w:rPr>
            </w:pPr>
            <w:r w:rsidRPr="00AE3251">
              <w:rPr>
                <w:rFonts w:ascii="Calibri" w:hAnsi="Calibri"/>
                <w:color w:val="000000"/>
                <w:sz w:val="18"/>
              </w:rPr>
              <w:t>-10.7%</w:t>
            </w:r>
          </w:p>
        </w:tc>
        <w:tc>
          <w:tcPr>
            <w:tcW w:w="236" w:type="dxa"/>
            <w:tcBorders>
              <w:bottom w:val="single" w:sz="4" w:space="0" w:color="auto"/>
            </w:tcBorders>
          </w:tcPr>
          <w:p w:rsidR="00BE50DA" w:rsidRPr="00AE3251" w:rsidRDefault="00BE50DA" w:rsidP="00060F0B">
            <w:pPr>
              <w:jc w:val="center"/>
              <w:rPr>
                <w:rFonts w:ascii="Calibri" w:hAnsi="Calibri"/>
                <w:color w:val="000000"/>
                <w:sz w:val="18"/>
              </w:rPr>
            </w:pPr>
          </w:p>
        </w:tc>
        <w:tc>
          <w:tcPr>
            <w:tcW w:w="1018" w:type="dxa"/>
            <w:tcBorders>
              <w:bottom w:val="single" w:sz="4" w:space="0" w:color="auto"/>
            </w:tcBorders>
            <w:vAlign w:val="center"/>
          </w:tcPr>
          <w:p w:rsidR="00BE50DA" w:rsidRPr="00AE3251" w:rsidRDefault="00BE50DA" w:rsidP="00060F0B">
            <w:pPr>
              <w:jc w:val="center"/>
              <w:rPr>
                <w:rFonts w:ascii="Calibri" w:hAnsi="Calibri"/>
                <w:color w:val="000000"/>
                <w:sz w:val="18"/>
              </w:rPr>
            </w:pPr>
            <w:r w:rsidRPr="00AE3251">
              <w:rPr>
                <w:rFonts w:ascii="Calibri" w:hAnsi="Calibri"/>
                <w:color w:val="000000"/>
                <w:sz w:val="18"/>
              </w:rPr>
              <w:t>14.1%</w:t>
            </w:r>
          </w:p>
        </w:tc>
        <w:tc>
          <w:tcPr>
            <w:tcW w:w="236" w:type="dxa"/>
            <w:tcBorders>
              <w:bottom w:val="single" w:sz="4" w:space="0" w:color="auto"/>
            </w:tcBorders>
          </w:tcPr>
          <w:p w:rsidR="00BE50DA" w:rsidRPr="00AE3251" w:rsidRDefault="00BE50DA" w:rsidP="00060F0B">
            <w:pPr>
              <w:jc w:val="center"/>
              <w:rPr>
                <w:rFonts w:ascii="Calibri" w:hAnsi="Calibri"/>
                <w:color w:val="000000"/>
                <w:sz w:val="18"/>
              </w:rPr>
            </w:pPr>
          </w:p>
        </w:tc>
        <w:tc>
          <w:tcPr>
            <w:tcW w:w="1019" w:type="dxa"/>
            <w:tcBorders>
              <w:bottom w:val="single" w:sz="4" w:space="0" w:color="auto"/>
            </w:tcBorders>
            <w:vAlign w:val="center"/>
          </w:tcPr>
          <w:p w:rsidR="00BE50DA" w:rsidRPr="00AE3251" w:rsidRDefault="00BE50DA" w:rsidP="00060F0B">
            <w:pPr>
              <w:jc w:val="center"/>
              <w:rPr>
                <w:rFonts w:ascii="Calibri" w:hAnsi="Calibri"/>
                <w:color w:val="548DD4" w:themeColor="text2" w:themeTint="99"/>
                <w:sz w:val="18"/>
              </w:rPr>
            </w:pPr>
            <w:r w:rsidRPr="00AE3251">
              <w:rPr>
                <w:rFonts w:ascii="Calibri" w:hAnsi="Calibri"/>
                <w:color w:val="548DD4" w:themeColor="text2" w:themeTint="99"/>
                <w:sz w:val="18"/>
              </w:rPr>
              <w:t>24%</w:t>
            </w:r>
          </w:p>
        </w:tc>
        <w:tc>
          <w:tcPr>
            <w:tcW w:w="1019" w:type="dxa"/>
            <w:tcBorders>
              <w:bottom w:val="single" w:sz="4" w:space="0" w:color="auto"/>
            </w:tcBorders>
            <w:vAlign w:val="center"/>
          </w:tcPr>
          <w:p w:rsidR="00BE50DA" w:rsidRPr="00AE3251" w:rsidRDefault="00BE50DA" w:rsidP="00060F0B">
            <w:pPr>
              <w:jc w:val="center"/>
              <w:rPr>
                <w:rFonts w:ascii="Calibri" w:hAnsi="Calibri"/>
                <w:color w:val="548DD4" w:themeColor="text2" w:themeTint="99"/>
                <w:sz w:val="18"/>
              </w:rPr>
            </w:pPr>
            <w:r w:rsidRPr="00AE3251">
              <w:rPr>
                <w:rFonts w:ascii="Calibri" w:hAnsi="Calibri"/>
                <w:color w:val="548DD4" w:themeColor="text2" w:themeTint="99"/>
                <w:sz w:val="18"/>
              </w:rPr>
              <w:t>42%</w:t>
            </w:r>
          </w:p>
        </w:tc>
        <w:tc>
          <w:tcPr>
            <w:tcW w:w="1020" w:type="dxa"/>
            <w:tcBorders>
              <w:bottom w:val="single" w:sz="4" w:space="0" w:color="auto"/>
            </w:tcBorders>
            <w:vAlign w:val="center"/>
          </w:tcPr>
          <w:p w:rsidR="00BE50DA" w:rsidRPr="00AE3251" w:rsidRDefault="00BE50DA" w:rsidP="00060F0B">
            <w:pPr>
              <w:jc w:val="center"/>
              <w:rPr>
                <w:rFonts w:ascii="Calibri" w:hAnsi="Calibri"/>
                <w:color w:val="000000"/>
                <w:sz w:val="18"/>
              </w:rPr>
            </w:pPr>
            <w:r w:rsidRPr="00AE3251">
              <w:rPr>
                <w:rFonts w:ascii="Calibri" w:hAnsi="Calibri"/>
                <w:color w:val="FF0000"/>
                <w:sz w:val="18"/>
              </w:rPr>
              <w:t>-16%</w:t>
            </w:r>
          </w:p>
        </w:tc>
        <w:tc>
          <w:tcPr>
            <w:tcW w:w="236" w:type="dxa"/>
            <w:tcBorders>
              <w:bottom w:val="single" w:sz="4" w:space="0" w:color="auto"/>
              <w:right w:val="single" w:sz="4" w:space="0" w:color="auto"/>
            </w:tcBorders>
          </w:tcPr>
          <w:p w:rsidR="00BE50DA" w:rsidRPr="00AE3251" w:rsidRDefault="00BE50DA" w:rsidP="00060F0B">
            <w:pPr>
              <w:jc w:val="center"/>
              <w:rPr>
                <w:sz w:val="18"/>
                <w:szCs w:val="20"/>
              </w:rPr>
            </w:pPr>
          </w:p>
        </w:tc>
        <w:tc>
          <w:tcPr>
            <w:tcW w:w="236" w:type="dxa"/>
            <w:tcBorders>
              <w:left w:val="single" w:sz="4" w:space="0" w:color="auto"/>
              <w:bottom w:val="single" w:sz="4" w:space="0" w:color="auto"/>
            </w:tcBorders>
          </w:tcPr>
          <w:p w:rsidR="00BE50DA" w:rsidRPr="00AE3251" w:rsidRDefault="00BE50DA" w:rsidP="00060F0B">
            <w:pPr>
              <w:jc w:val="center"/>
              <w:rPr>
                <w:sz w:val="18"/>
                <w:szCs w:val="20"/>
              </w:rPr>
            </w:pPr>
          </w:p>
        </w:tc>
        <w:tc>
          <w:tcPr>
            <w:tcW w:w="1020" w:type="dxa"/>
            <w:tcBorders>
              <w:bottom w:val="single" w:sz="4" w:space="0" w:color="auto"/>
            </w:tcBorders>
            <w:vAlign w:val="center"/>
          </w:tcPr>
          <w:p w:rsidR="00BE50DA" w:rsidRPr="00AE3251" w:rsidRDefault="00BE50DA" w:rsidP="00060F0B">
            <w:pPr>
              <w:jc w:val="center"/>
              <w:rPr>
                <w:sz w:val="18"/>
                <w:szCs w:val="20"/>
              </w:rPr>
            </w:pPr>
            <w:r w:rsidRPr="00AE3251">
              <w:rPr>
                <w:sz w:val="18"/>
                <w:szCs w:val="20"/>
              </w:rPr>
              <w:t>HR_Bond</w:t>
            </w:r>
          </w:p>
        </w:tc>
        <w:tc>
          <w:tcPr>
            <w:tcW w:w="1020" w:type="dxa"/>
            <w:tcBorders>
              <w:bottom w:val="single" w:sz="4" w:space="0" w:color="auto"/>
            </w:tcBorders>
            <w:vAlign w:val="center"/>
          </w:tcPr>
          <w:p w:rsidR="00BE50DA" w:rsidRPr="00AE3251" w:rsidRDefault="00BE50DA" w:rsidP="00060F0B">
            <w:pPr>
              <w:jc w:val="center"/>
              <w:rPr>
                <w:rFonts w:ascii="Calibri" w:hAnsi="Calibri"/>
                <w:color w:val="000000"/>
                <w:sz w:val="18"/>
              </w:rPr>
            </w:pPr>
            <w:r w:rsidRPr="00AE3251">
              <w:rPr>
                <w:rFonts w:ascii="Calibri" w:hAnsi="Calibri"/>
                <w:color w:val="000000"/>
                <w:sz w:val="18"/>
              </w:rPr>
              <w:t>29.9%</w:t>
            </w:r>
          </w:p>
        </w:tc>
        <w:tc>
          <w:tcPr>
            <w:tcW w:w="236" w:type="dxa"/>
            <w:tcBorders>
              <w:bottom w:val="single" w:sz="4" w:space="0" w:color="auto"/>
            </w:tcBorders>
          </w:tcPr>
          <w:p w:rsidR="00BE50DA" w:rsidRPr="00AE3251" w:rsidRDefault="00BE50DA" w:rsidP="00060F0B">
            <w:pPr>
              <w:jc w:val="center"/>
              <w:rPr>
                <w:rFonts w:ascii="Calibri" w:hAnsi="Calibri"/>
                <w:color w:val="000000"/>
                <w:sz w:val="18"/>
              </w:rPr>
            </w:pPr>
          </w:p>
        </w:tc>
        <w:tc>
          <w:tcPr>
            <w:tcW w:w="1020" w:type="dxa"/>
            <w:tcBorders>
              <w:bottom w:val="single" w:sz="4" w:space="0" w:color="auto"/>
            </w:tcBorders>
            <w:vAlign w:val="center"/>
          </w:tcPr>
          <w:p w:rsidR="00BE50DA" w:rsidRPr="00AE3251" w:rsidRDefault="00BE50DA" w:rsidP="00060F0B">
            <w:pPr>
              <w:jc w:val="center"/>
              <w:rPr>
                <w:rFonts w:ascii="Calibri" w:hAnsi="Calibri"/>
                <w:color w:val="000000"/>
                <w:sz w:val="18"/>
              </w:rPr>
            </w:pPr>
            <w:r w:rsidRPr="00AE3251">
              <w:rPr>
                <w:rFonts w:ascii="Calibri" w:hAnsi="Calibri"/>
                <w:color w:val="000000"/>
                <w:sz w:val="18"/>
              </w:rPr>
              <w:t>21.8%</w:t>
            </w:r>
          </w:p>
        </w:tc>
        <w:tc>
          <w:tcPr>
            <w:tcW w:w="236" w:type="dxa"/>
            <w:tcBorders>
              <w:bottom w:val="single" w:sz="4" w:space="0" w:color="auto"/>
            </w:tcBorders>
          </w:tcPr>
          <w:p w:rsidR="00BE50DA" w:rsidRPr="00AE3251" w:rsidRDefault="00BE50DA" w:rsidP="00060F0B">
            <w:pPr>
              <w:jc w:val="center"/>
              <w:rPr>
                <w:rFonts w:ascii="Calibri" w:hAnsi="Calibri"/>
                <w:color w:val="000000"/>
                <w:sz w:val="18"/>
              </w:rPr>
            </w:pPr>
          </w:p>
        </w:tc>
        <w:tc>
          <w:tcPr>
            <w:tcW w:w="1020" w:type="dxa"/>
            <w:tcBorders>
              <w:bottom w:val="single" w:sz="4" w:space="0" w:color="auto"/>
            </w:tcBorders>
            <w:vAlign w:val="center"/>
          </w:tcPr>
          <w:p w:rsidR="00BE50DA" w:rsidRPr="00AE3251" w:rsidRDefault="00BE50DA" w:rsidP="00060F0B">
            <w:pPr>
              <w:jc w:val="center"/>
              <w:rPr>
                <w:rFonts w:ascii="Calibri" w:hAnsi="Calibri"/>
                <w:color w:val="548DD4" w:themeColor="text2" w:themeTint="99"/>
                <w:sz w:val="18"/>
              </w:rPr>
            </w:pPr>
            <w:r w:rsidRPr="00AE3251">
              <w:rPr>
                <w:rFonts w:ascii="Calibri" w:hAnsi="Calibri"/>
                <w:color w:val="548DD4" w:themeColor="text2" w:themeTint="99"/>
                <w:sz w:val="18"/>
              </w:rPr>
              <w:t>18.0%</w:t>
            </w:r>
          </w:p>
        </w:tc>
        <w:tc>
          <w:tcPr>
            <w:tcW w:w="1020" w:type="dxa"/>
            <w:tcBorders>
              <w:bottom w:val="single" w:sz="4" w:space="0" w:color="auto"/>
            </w:tcBorders>
            <w:vAlign w:val="center"/>
          </w:tcPr>
          <w:p w:rsidR="00BE50DA" w:rsidRPr="00AE3251" w:rsidRDefault="00BE50DA" w:rsidP="00060F0B">
            <w:pPr>
              <w:jc w:val="center"/>
              <w:rPr>
                <w:rFonts w:ascii="Calibri" w:hAnsi="Calibri"/>
                <w:color w:val="548DD4" w:themeColor="text2" w:themeTint="99"/>
                <w:sz w:val="18"/>
              </w:rPr>
            </w:pPr>
            <w:r w:rsidRPr="00AE3251">
              <w:rPr>
                <w:rFonts w:ascii="Calibri" w:hAnsi="Calibri"/>
                <w:color w:val="548DD4" w:themeColor="text2" w:themeTint="99"/>
                <w:sz w:val="18"/>
              </w:rPr>
              <w:t>19.5%</w:t>
            </w:r>
          </w:p>
        </w:tc>
        <w:tc>
          <w:tcPr>
            <w:tcW w:w="1020" w:type="dxa"/>
            <w:tcBorders>
              <w:bottom w:val="single" w:sz="4" w:space="0" w:color="auto"/>
            </w:tcBorders>
            <w:vAlign w:val="center"/>
          </w:tcPr>
          <w:p w:rsidR="00BE50DA" w:rsidRPr="00AE3251" w:rsidRDefault="00BE50DA" w:rsidP="00060F0B">
            <w:pPr>
              <w:jc w:val="center"/>
              <w:rPr>
                <w:rFonts w:ascii="Calibri" w:hAnsi="Calibri"/>
                <w:color w:val="000000"/>
                <w:sz w:val="18"/>
              </w:rPr>
            </w:pPr>
            <w:r w:rsidRPr="00AE3251">
              <w:rPr>
                <w:rFonts w:ascii="Calibri" w:hAnsi="Calibri"/>
                <w:color w:val="FF0000"/>
                <w:sz w:val="18"/>
              </w:rPr>
              <w:t>-0.7%</w:t>
            </w:r>
          </w:p>
        </w:tc>
      </w:tr>
    </w:tbl>
    <w:p w:rsidR="00BE50DA" w:rsidRDefault="00BE50DA" w:rsidP="00BE50DA">
      <w:pPr>
        <w:rPr>
          <w:rFonts w:cs="TTdcr10"/>
          <w:sz w:val="20"/>
          <w:szCs w:val="20"/>
        </w:rPr>
      </w:pPr>
    </w:p>
    <w:p w:rsidR="00BE50DA" w:rsidRDefault="00BE50DA" w:rsidP="00BE50DA">
      <w:pPr>
        <w:rPr>
          <w:rFonts w:cs="TTdcr10"/>
          <w:sz w:val="20"/>
          <w:szCs w:val="20"/>
        </w:rPr>
      </w:pPr>
    </w:p>
    <w:p w:rsidR="00BE50DA" w:rsidRDefault="00BE50DA" w:rsidP="00BE50DA">
      <w:pPr>
        <w:rPr>
          <w:rFonts w:cs="TTdcr10"/>
          <w:sz w:val="20"/>
          <w:szCs w:val="20"/>
        </w:rPr>
      </w:pPr>
    </w:p>
    <w:p w:rsidR="00BE50DA" w:rsidRDefault="00BE50DA" w:rsidP="00BE50DA">
      <w:pPr>
        <w:rPr>
          <w:rFonts w:cs="TTdcr10"/>
          <w:sz w:val="20"/>
          <w:szCs w:val="20"/>
        </w:rPr>
      </w:pPr>
    </w:p>
    <w:p w:rsidR="00BE50DA" w:rsidRDefault="00BE50DA" w:rsidP="00BE50DA">
      <w:pPr>
        <w:rPr>
          <w:rFonts w:cs="TTdcr10"/>
          <w:sz w:val="20"/>
          <w:szCs w:val="20"/>
        </w:rPr>
      </w:pPr>
    </w:p>
    <w:p w:rsidR="00BE50DA" w:rsidRDefault="00BE50DA" w:rsidP="00BE50DA">
      <w:pPr>
        <w:rPr>
          <w:rFonts w:cs="TTdcr10"/>
          <w:sz w:val="20"/>
          <w:szCs w:val="20"/>
        </w:rPr>
        <w:sectPr w:rsidR="00BE50DA" w:rsidSect="00D24965">
          <w:footnotePr>
            <w:numRestart w:val="eachSect"/>
          </w:footnotePr>
          <w:pgSz w:w="16838" w:h="11906" w:orient="landscape"/>
          <w:pgMar w:top="1440" w:right="1440" w:bottom="1440" w:left="1440" w:header="708" w:footer="708" w:gutter="0"/>
          <w:cols w:space="708"/>
          <w:docGrid w:linePitch="360"/>
        </w:sectPr>
      </w:pPr>
    </w:p>
    <w:tbl>
      <w:tblPr>
        <w:tblStyle w:val="Grigliatabella"/>
        <w:tblW w:w="79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1247"/>
        <w:gridCol w:w="236"/>
        <w:gridCol w:w="1247"/>
        <w:gridCol w:w="236"/>
        <w:gridCol w:w="1247"/>
        <w:gridCol w:w="236"/>
        <w:gridCol w:w="1247"/>
        <w:gridCol w:w="30"/>
      </w:tblGrid>
      <w:tr w:rsidR="00BE50DA" w:rsidRPr="00AE3251" w:rsidTr="00060F0B">
        <w:trPr>
          <w:trHeight w:val="20"/>
          <w:jc w:val="center"/>
        </w:trPr>
        <w:tc>
          <w:tcPr>
            <w:tcW w:w="7994" w:type="dxa"/>
            <w:gridSpan w:val="9"/>
            <w:vAlign w:val="center"/>
          </w:tcPr>
          <w:p w:rsidR="00BE50DA" w:rsidRPr="00AE3251" w:rsidRDefault="00BE50DA" w:rsidP="00060F0B">
            <w:pPr>
              <w:jc w:val="center"/>
              <w:rPr>
                <w:b/>
                <w:sz w:val="18"/>
                <w:szCs w:val="20"/>
              </w:rPr>
            </w:pPr>
            <w:r w:rsidRPr="00AE3251">
              <w:rPr>
                <w:b/>
                <w:sz w:val="18"/>
                <w:szCs w:val="20"/>
              </w:rPr>
              <w:lastRenderedPageBreak/>
              <w:t xml:space="preserve">Table </w:t>
            </w:r>
            <w:r>
              <w:rPr>
                <w:b/>
                <w:sz w:val="18"/>
                <w:szCs w:val="20"/>
              </w:rPr>
              <w:t>VIII</w:t>
            </w:r>
          </w:p>
          <w:p w:rsidR="00BE50DA" w:rsidRPr="00AE3251" w:rsidRDefault="00BE50DA" w:rsidP="00060F0B">
            <w:pPr>
              <w:jc w:val="center"/>
              <w:rPr>
                <w:sz w:val="18"/>
                <w:szCs w:val="20"/>
              </w:rPr>
            </w:pPr>
            <w:r w:rsidRPr="00AE3251">
              <w:rPr>
                <w:b/>
                <w:sz w:val="18"/>
                <w:szCs w:val="20"/>
              </w:rPr>
              <w:t>Risk diversification benefits between a fund of asset portfolios and the average of their asset components</w:t>
            </w:r>
          </w:p>
        </w:tc>
      </w:tr>
      <w:tr w:rsidR="00BE50DA" w:rsidRPr="00AE3251" w:rsidTr="00060F0B">
        <w:trPr>
          <w:trHeight w:val="20"/>
          <w:jc w:val="center"/>
        </w:trPr>
        <w:tc>
          <w:tcPr>
            <w:tcW w:w="7994" w:type="dxa"/>
            <w:gridSpan w:val="9"/>
            <w:tcBorders>
              <w:bottom w:val="single" w:sz="4" w:space="0" w:color="auto"/>
            </w:tcBorders>
            <w:vAlign w:val="center"/>
          </w:tcPr>
          <w:p w:rsidR="00BE50DA" w:rsidRPr="00AE3251" w:rsidRDefault="00BE50DA" w:rsidP="00060F0B">
            <w:pPr>
              <w:jc w:val="both"/>
              <w:rPr>
                <w:sz w:val="18"/>
                <w:szCs w:val="20"/>
              </w:rPr>
            </w:pPr>
            <w:r w:rsidRPr="00AE3251">
              <w:rPr>
                <w:sz w:val="18"/>
                <w:szCs w:val="20"/>
              </w:rPr>
              <w:t xml:space="preserve">This table presents the change in volatility and 99% relative Value-at-Risk mean when investing in a combination of asset portfolios of different asset types and risk as compared to the average of asset portfolios constituents. Asset portfolios include the low risk stock and bond portfolios that are comprised of the stock market and average sovereign bond returns, respectively, of Germany, Finland and Netherlands and the high risk stock and bond portfolios that are comprised of the stock market and average sovereign bond returns, respectively, of Italy, Spain, Portugal, Ireland and Greece. All funds are equally weighted portfolios of different asset portfolios. The pure equity fund invests in low and high risk stocks, the pure bond fund is built as a combination of low and high risk sovereign bonds, the pension fund invests in low risk securities, the aggressive growth/high yield fund invests in high risk sovereign bonds and stocks, and the diversified fund is an equally weighted portfolio of all asset portfolios.       </w:t>
            </w:r>
          </w:p>
        </w:tc>
      </w:tr>
      <w:tr w:rsidR="00BE50DA" w:rsidRPr="00AE3251" w:rsidTr="00060F0B">
        <w:trPr>
          <w:trHeight w:val="340"/>
          <w:jc w:val="center"/>
        </w:trPr>
        <w:tc>
          <w:tcPr>
            <w:tcW w:w="7994" w:type="dxa"/>
            <w:gridSpan w:val="9"/>
            <w:tcBorders>
              <w:top w:val="single" w:sz="4" w:space="0" w:color="auto"/>
              <w:bottom w:val="single" w:sz="4" w:space="0" w:color="auto"/>
            </w:tcBorders>
            <w:vAlign w:val="center"/>
          </w:tcPr>
          <w:p w:rsidR="00BE50DA" w:rsidRPr="00AE3251" w:rsidRDefault="00BE50DA" w:rsidP="00060F0B">
            <w:pPr>
              <w:jc w:val="center"/>
              <w:rPr>
                <w:sz w:val="18"/>
                <w:szCs w:val="20"/>
              </w:rPr>
            </w:pPr>
            <w:r w:rsidRPr="00AE3251">
              <w:rPr>
                <w:sz w:val="18"/>
                <w:szCs w:val="20"/>
              </w:rPr>
              <w:t xml:space="preserve">Panel A: </w:t>
            </w:r>
            <w:r>
              <w:rPr>
                <w:sz w:val="18"/>
                <w:szCs w:val="20"/>
              </w:rPr>
              <w:t>Reduction</w:t>
            </w:r>
            <w:r w:rsidRPr="00AE3251">
              <w:rPr>
                <w:sz w:val="18"/>
                <w:szCs w:val="20"/>
              </w:rPr>
              <w:t xml:space="preserve"> in portfolio volatility as compared to average of asset components</w:t>
            </w:r>
          </w:p>
        </w:tc>
      </w:tr>
      <w:tr w:rsidR="00BE50DA" w:rsidRPr="00AE3251" w:rsidTr="00060F0B">
        <w:trPr>
          <w:gridAfter w:val="1"/>
          <w:wAfter w:w="30" w:type="dxa"/>
          <w:trHeight w:val="20"/>
          <w:jc w:val="center"/>
        </w:trPr>
        <w:tc>
          <w:tcPr>
            <w:tcW w:w="2268" w:type="dxa"/>
            <w:tcBorders>
              <w:top w:val="single" w:sz="4" w:space="0" w:color="auto"/>
            </w:tcBorders>
            <w:vAlign w:val="center"/>
          </w:tcPr>
          <w:p w:rsidR="00BE50DA" w:rsidRPr="00AE3251" w:rsidRDefault="00BE50DA" w:rsidP="00060F0B">
            <w:pPr>
              <w:jc w:val="center"/>
              <w:rPr>
                <w:sz w:val="18"/>
                <w:szCs w:val="20"/>
              </w:rPr>
            </w:pPr>
          </w:p>
        </w:tc>
        <w:tc>
          <w:tcPr>
            <w:tcW w:w="1247" w:type="dxa"/>
            <w:tcBorders>
              <w:top w:val="single" w:sz="4" w:space="0" w:color="auto"/>
              <w:bottom w:val="single" w:sz="4" w:space="0" w:color="auto"/>
            </w:tcBorders>
            <w:vAlign w:val="center"/>
          </w:tcPr>
          <w:p w:rsidR="00BE50DA" w:rsidRPr="00AE3251" w:rsidRDefault="00BE50DA" w:rsidP="00060F0B">
            <w:pPr>
              <w:jc w:val="center"/>
              <w:rPr>
                <w:sz w:val="18"/>
                <w:szCs w:val="20"/>
              </w:rPr>
            </w:pPr>
            <w:r w:rsidRPr="00AE3251">
              <w:rPr>
                <w:sz w:val="18"/>
                <w:szCs w:val="20"/>
              </w:rPr>
              <w:t>Pre-crisis period</w:t>
            </w:r>
          </w:p>
        </w:tc>
        <w:tc>
          <w:tcPr>
            <w:tcW w:w="236" w:type="dxa"/>
            <w:tcBorders>
              <w:top w:val="single" w:sz="4" w:space="0" w:color="auto"/>
            </w:tcBorders>
            <w:vAlign w:val="center"/>
          </w:tcPr>
          <w:p w:rsidR="00BE50DA" w:rsidRPr="00AE3251" w:rsidRDefault="00BE50DA" w:rsidP="00060F0B">
            <w:pPr>
              <w:jc w:val="center"/>
              <w:rPr>
                <w:sz w:val="18"/>
                <w:szCs w:val="20"/>
              </w:rPr>
            </w:pPr>
          </w:p>
        </w:tc>
        <w:tc>
          <w:tcPr>
            <w:tcW w:w="1247" w:type="dxa"/>
            <w:tcBorders>
              <w:top w:val="single" w:sz="4" w:space="0" w:color="auto"/>
              <w:bottom w:val="single" w:sz="4" w:space="0" w:color="auto"/>
            </w:tcBorders>
            <w:vAlign w:val="center"/>
          </w:tcPr>
          <w:p w:rsidR="00BE50DA" w:rsidRPr="00AE3251" w:rsidRDefault="00BE50DA" w:rsidP="00060F0B">
            <w:pPr>
              <w:jc w:val="center"/>
              <w:rPr>
                <w:sz w:val="18"/>
                <w:szCs w:val="20"/>
              </w:rPr>
            </w:pPr>
            <w:r w:rsidRPr="00AE3251">
              <w:rPr>
                <w:sz w:val="18"/>
                <w:szCs w:val="20"/>
              </w:rPr>
              <w:t>Subprime crisis period</w:t>
            </w:r>
          </w:p>
        </w:tc>
        <w:tc>
          <w:tcPr>
            <w:tcW w:w="236" w:type="dxa"/>
            <w:tcBorders>
              <w:top w:val="single" w:sz="4" w:space="0" w:color="auto"/>
            </w:tcBorders>
            <w:vAlign w:val="center"/>
          </w:tcPr>
          <w:p w:rsidR="00BE50DA" w:rsidRPr="00AE3251" w:rsidRDefault="00BE50DA" w:rsidP="00060F0B">
            <w:pPr>
              <w:jc w:val="center"/>
              <w:rPr>
                <w:sz w:val="18"/>
                <w:szCs w:val="20"/>
              </w:rPr>
            </w:pPr>
          </w:p>
        </w:tc>
        <w:tc>
          <w:tcPr>
            <w:tcW w:w="1247" w:type="dxa"/>
            <w:tcBorders>
              <w:top w:val="single" w:sz="4" w:space="0" w:color="auto"/>
              <w:bottom w:val="single" w:sz="4" w:space="0" w:color="auto"/>
            </w:tcBorders>
            <w:vAlign w:val="center"/>
          </w:tcPr>
          <w:p w:rsidR="00BE50DA" w:rsidRPr="00AE3251" w:rsidRDefault="00BE50DA" w:rsidP="00060F0B">
            <w:pPr>
              <w:jc w:val="center"/>
              <w:rPr>
                <w:sz w:val="18"/>
                <w:szCs w:val="20"/>
              </w:rPr>
            </w:pPr>
            <w:r w:rsidRPr="00AE3251">
              <w:rPr>
                <w:sz w:val="18"/>
                <w:szCs w:val="20"/>
              </w:rPr>
              <w:t>Sovereign crisis period I</w:t>
            </w:r>
          </w:p>
        </w:tc>
        <w:tc>
          <w:tcPr>
            <w:tcW w:w="236" w:type="dxa"/>
            <w:tcBorders>
              <w:top w:val="single" w:sz="4" w:space="0" w:color="auto"/>
            </w:tcBorders>
            <w:vAlign w:val="center"/>
          </w:tcPr>
          <w:p w:rsidR="00BE50DA" w:rsidRPr="00AE3251" w:rsidRDefault="00BE50DA" w:rsidP="00060F0B">
            <w:pPr>
              <w:jc w:val="center"/>
              <w:rPr>
                <w:sz w:val="18"/>
                <w:szCs w:val="20"/>
              </w:rPr>
            </w:pPr>
          </w:p>
        </w:tc>
        <w:tc>
          <w:tcPr>
            <w:tcW w:w="1247" w:type="dxa"/>
            <w:tcBorders>
              <w:top w:val="single" w:sz="4" w:space="0" w:color="auto"/>
              <w:bottom w:val="single" w:sz="4" w:space="0" w:color="auto"/>
            </w:tcBorders>
            <w:vAlign w:val="center"/>
          </w:tcPr>
          <w:p w:rsidR="00BE50DA" w:rsidRPr="00AE3251" w:rsidRDefault="00BE50DA" w:rsidP="00060F0B">
            <w:pPr>
              <w:jc w:val="center"/>
              <w:rPr>
                <w:sz w:val="18"/>
                <w:szCs w:val="20"/>
              </w:rPr>
            </w:pPr>
            <w:r w:rsidRPr="00AE3251">
              <w:rPr>
                <w:sz w:val="18"/>
                <w:szCs w:val="20"/>
              </w:rPr>
              <w:t>Sovereign crisis period II</w:t>
            </w:r>
          </w:p>
        </w:tc>
      </w:tr>
      <w:tr w:rsidR="00BE50DA" w:rsidRPr="00AE3251" w:rsidTr="00060F0B">
        <w:trPr>
          <w:gridAfter w:val="1"/>
          <w:wAfter w:w="30" w:type="dxa"/>
          <w:trHeight w:val="454"/>
          <w:jc w:val="center"/>
        </w:trPr>
        <w:tc>
          <w:tcPr>
            <w:tcW w:w="2268" w:type="dxa"/>
            <w:vAlign w:val="center"/>
          </w:tcPr>
          <w:p w:rsidR="00BE50DA" w:rsidRPr="00AE3251" w:rsidRDefault="00BE50DA" w:rsidP="00060F0B">
            <w:pPr>
              <w:jc w:val="center"/>
              <w:rPr>
                <w:sz w:val="18"/>
                <w:szCs w:val="20"/>
              </w:rPr>
            </w:pPr>
            <w:r w:rsidRPr="00AE3251">
              <w:rPr>
                <w:sz w:val="18"/>
                <w:szCs w:val="20"/>
              </w:rPr>
              <w:t>Diversified fund</w:t>
            </w:r>
          </w:p>
        </w:tc>
        <w:tc>
          <w:tcPr>
            <w:tcW w:w="1247" w:type="dxa"/>
            <w:vAlign w:val="center"/>
          </w:tcPr>
          <w:p w:rsidR="00BE50DA" w:rsidRPr="00AE3251" w:rsidRDefault="00BE50DA" w:rsidP="00060F0B">
            <w:pPr>
              <w:jc w:val="center"/>
              <w:rPr>
                <w:rFonts w:ascii="Calibri" w:hAnsi="Calibri"/>
                <w:color w:val="000000"/>
                <w:sz w:val="18"/>
              </w:rPr>
            </w:pPr>
            <w:r w:rsidRPr="00AE3251">
              <w:rPr>
                <w:rFonts w:ascii="Calibri" w:hAnsi="Calibri"/>
                <w:color w:val="000000"/>
                <w:sz w:val="18"/>
              </w:rPr>
              <w:t>35.1%</w:t>
            </w:r>
          </w:p>
        </w:tc>
        <w:tc>
          <w:tcPr>
            <w:tcW w:w="236" w:type="dxa"/>
            <w:vAlign w:val="center"/>
          </w:tcPr>
          <w:p w:rsidR="00BE50DA" w:rsidRPr="00AE3251" w:rsidRDefault="00BE50DA" w:rsidP="00060F0B">
            <w:pPr>
              <w:jc w:val="center"/>
              <w:rPr>
                <w:rFonts w:ascii="Calibri" w:hAnsi="Calibri"/>
                <w:color w:val="000000"/>
                <w:sz w:val="18"/>
              </w:rPr>
            </w:pPr>
          </w:p>
        </w:tc>
        <w:tc>
          <w:tcPr>
            <w:tcW w:w="1247" w:type="dxa"/>
            <w:vAlign w:val="center"/>
          </w:tcPr>
          <w:p w:rsidR="00BE50DA" w:rsidRPr="00AE3251" w:rsidRDefault="00BE50DA" w:rsidP="00060F0B">
            <w:pPr>
              <w:jc w:val="center"/>
              <w:rPr>
                <w:rFonts w:ascii="Calibri" w:hAnsi="Calibri"/>
                <w:color w:val="000000"/>
                <w:sz w:val="18"/>
              </w:rPr>
            </w:pPr>
            <w:r w:rsidRPr="00AE3251">
              <w:rPr>
                <w:rFonts w:ascii="Calibri" w:hAnsi="Calibri"/>
                <w:color w:val="000000"/>
                <w:sz w:val="18"/>
              </w:rPr>
              <w:t>18.5%</w:t>
            </w:r>
          </w:p>
        </w:tc>
        <w:tc>
          <w:tcPr>
            <w:tcW w:w="236" w:type="dxa"/>
            <w:vAlign w:val="center"/>
          </w:tcPr>
          <w:p w:rsidR="00BE50DA" w:rsidRPr="00AE3251" w:rsidRDefault="00BE50DA" w:rsidP="00060F0B">
            <w:pPr>
              <w:jc w:val="center"/>
              <w:rPr>
                <w:rFonts w:ascii="Calibri" w:hAnsi="Calibri"/>
                <w:color w:val="000000"/>
                <w:sz w:val="18"/>
              </w:rPr>
            </w:pPr>
          </w:p>
        </w:tc>
        <w:tc>
          <w:tcPr>
            <w:tcW w:w="1247" w:type="dxa"/>
            <w:vAlign w:val="center"/>
          </w:tcPr>
          <w:p w:rsidR="00BE50DA" w:rsidRPr="00AE3251" w:rsidRDefault="00BE50DA" w:rsidP="00060F0B">
            <w:pPr>
              <w:jc w:val="center"/>
              <w:rPr>
                <w:rFonts w:ascii="Calibri" w:hAnsi="Calibri"/>
                <w:color w:val="000000"/>
                <w:sz w:val="18"/>
              </w:rPr>
            </w:pPr>
            <w:r w:rsidRPr="00AE3251">
              <w:rPr>
                <w:rFonts w:ascii="Calibri" w:hAnsi="Calibri"/>
                <w:color w:val="000000"/>
                <w:sz w:val="18"/>
              </w:rPr>
              <w:t>23.5%</w:t>
            </w:r>
          </w:p>
        </w:tc>
        <w:tc>
          <w:tcPr>
            <w:tcW w:w="236" w:type="dxa"/>
            <w:vAlign w:val="center"/>
          </w:tcPr>
          <w:p w:rsidR="00BE50DA" w:rsidRPr="00AE3251" w:rsidRDefault="00BE50DA" w:rsidP="00060F0B">
            <w:pPr>
              <w:jc w:val="center"/>
              <w:rPr>
                <w:rFonts w:ascii="Calibri" w:hAnsi="Calibri"/>
                <w:color w:val="000000"/>
                <w:sz w:val="18"/>
              </w:rPr>
            </w:pPr>
          </w:p>
        </w:tc>
        <w:tc>
          <w:tcPr>
            <w:tcW w:w="1247" w:type="dxa"/>
            <w:vAlign w:val="center"/>
          </w:tcPr>
          <w:p w:rsidR="00BE50DA" w:rsidRPr="00AE3251" w:rsidRDefault="00BE50DA" w:rsidP="00060F0B">
            <w:pPr>
              <w:jc w:val="center"/>
              <w:rPr>
                <w:rFonts w:ascii="Calibri" w:hAnsi="Calibri"/>
                <w:color w:val="000000"/>
                <w:sz w:val="18"/>
              </w:rPr>
            </w:pPr>
            <w:r w:rsidRPr="00AE3251">
              <w:rPr>
                <w:rFonts w:ascii="Calibri" w:hAnsi="Calibri"/>
                <w:color w:val="000000"/>
                <w:sz w:val="18"/>
              </w:rPr>
              <w:t>30.3%</w:t>
            </w:r>
          </w:p>
        </w:tc>
      </w:tr>
      <w:tr w:rsidR="00BE50DA" w:rsidRPr="00AE3251" w:rsidTr="00060F0B">
        <w:trPr>
          <w:gridAfter w:val="1"/>
          <w:wAfter w:w="30" w:type="dxa"/>
          <w:trHeight w:val="454"/>
          <w:jc w:val="center"/>
        </w:trPr>
        <w:tc>
          <w:tcPr>
            <w:tcW w:w="2268" w:type="dxa"/>
            <w:vAlign w:val="center"/>
          </w:tcPr>
          <w:p w:rsidR="00BE50DA" w:rsidRPr="00AE3251" w:rsidRDefault="00BE50DA" w:rsidP="00060F0B">
            <w:pPr>
              <w:jc w:val="center"/>
              <w:rPr>
                <w:sz w:val="18"/>
                <w:szCs w:val="20"/>
              </w:rPr>
            </w:pPr>
            <w:r w:rsidRPr="00AE3251">
              <w:rPr>
                <w:sz w:val="18"/>
                <w:szCs w:val="20"/>
              </w:rPr>
              <w:t>Aggressive growth/high yield fund</w:t>
            </w:r>
          </w:p>
        </w:tc>
        <w:tc>
          <w:tcPr>
            <w:tcW w:w="1247" w:type="dxa"/>
            <w:vAlign w:val="center"/>
          </w:tcPr>
          <w:p w:rsidR="00BE50DA" w:rsidRPr="00AE3251" w:rsidRDefault="00BE50DA" w:rsidP="00060F0B">
            <w:pPr>
              <w:jc w:val="center"/>
              <w:rPr>
                <w:rFonts w:ascii="Calibri" w:hAnsi="Calibri"/>
                <w:color w:val="000000"/>
                <w:sz w:val="18"/>
              </w:rPr>
            </w:pPr>
            <w:r w:rsidRPr="00AE3251">
              <w:rPr>
                <w:rFonts w:ascii="Calibri" w:hAnsi="Calibri"/>
                <w:color w:val="000000"/>
                <w:sz w:val="18"/>
              </w:rPr>
              <w:t>21.2%</w:t>
            </w:r>
          </w:p>
        </w:tc>
        <w:tc>
          <w:tcPr>
            <w:tcW w:w="236" w:type="dxa"/>
            <w:vAlign w:val="center"/>
          </w:tcPr>
          <w:p w:rsidR="00BE50DA" w:rsidRPr="00AE3251" w:rsidRDefault="00BE50DA" w:rsidP="00060F0B">
            <w:pPr>
              <w:jc w:val="center"/>
              <w:rPr>
                <w:rFonts w:ascii="Calibri" w:hAnsi="Calibri"/>
                <w:color w:val="000000"/>
                <w:sz w:val="18"/>
              </w:rPr>
            </w:pPr>
          </w:p>
        </w:tc>
        <w:tc>
          <w:tcPr>
            <w:tcW w:w="1247" w:type="dxa"/>
            <w:vAlign w:val="center"/>
          </w:tcPr>
          <w:p w:rsidR="00BE50DA" w:rsidRPr="00AE3251" w:rsidRDefault="00BE50DA" w:rsidP="00060F0B">
            <w:pPr>
              <w:jc w:val="center"/>
              <w:rPr>
                <w:rFonts w:ascii="Calibri" w:hAnsi="Calibri"/>
                <w:color w:val="000000"/>
                <w:sz w:val="18"/>
              </w:rPr>
            </w:pPr>
            <w:r w:rsidRPr="00AE3251">
              <w:rPr>
                <w:rFonts w:ascii="Calibri" w:hAnsi="Calibri"/>
                <w:color w:val="000000"/>
                <w:sz w:val="18"/>
              </w:rPr>
              <w:t>15.7%</w:t>
            </w:r>
          </w:p>
        </w:tc>
        <w:tc>
          <w:tcPr>
            <w:tcW w:w="236" w:type="dxa"/>
            <w:vAlign w:val="center"/>
          </w:tcPr>
          <w:p w:rsidR="00BE50DA" w:rsidRPr="00AE3251" w:rsidRDefault="00BE50DA" w:rsidP="00060F0B">
            <w:pPr>
              <w:jc w:val="center"/>
              <w:rPr>
                <w:rFonts w:ascii="Calibri" w:hAnsi="Calibri"/>
                <w:color w:val="000000"/>
                <w:sz w:val="18"/>
              </w:rPr>
            </w:pPr>
          </w:p>
        </w:tc>
        <w:tc>
          <w:tcPr>
            <w:tcW w:w="1247" w:type="dxa"/>
            <w:vAlign w:val="center"/>
          </w:tcPr>
          <w:p w:rsidR="00BE50DA" w:rsidRPr="00AE3251" w:rsidRDefault="00BE50DA" w:rsidP="00060F0B">
            <w:pPr>
              <w:jc w:val="center"/>
              <w:rPr>
                <w:rFonts w:ascii="Calibri" w:hAnsi="Calibri"/>
                <w:color w:val="000000"/>
                <w:sz w:val="18"/>
              </w:rPr>
            </w:pPr>
            <w:r w:rsidRPr="00AE3251">
              <w:rPr>
                <w:rFonts w:ascii="Calibri" w:hAnsi="Calibri"/>
                <w:color w:val="000000"/>
                <w:sz w:val="18"/>
              </w:rPr>
              <w:t>13.7%</w:t>
            </w:r>
          </w:p>
        </w:tc>
        <w:tc>
          <w:tcPr>
            <w:tcW w:w="236" w:type="dxa"/>
            <w:vAlign w:val="center"/>
          </w:tcPr>
          <w:p w:rsidR="00BE50DA" w:rsidRPr="00AE3251" w:rsidRDefault="00BE50DA" w:rsidP="00060F0B">
            <w:pPr>
              <w:jc w:val="center"/>
              <w:rPr>
                <w:rFonts w:ascii="Calibri" w:hAnsi="Calibri"/>
                <w:color w:val="000000"/>
                <w:sz w:val="18"/>
              </w:rPr>
            </w:pPr>
          </w:p>
        </w:tc>
        <w:tc>
          <w:tcPr>
            <w:tcW w:w="1247" w:type="dxa"/>
            <w:vAlign w:val="center"/>
          </w:tcPr>
          <w:p w:rsidR="00BE50DA" w:rsidRPr="00AE3251" w:rsidRDefault="00BE50DA" w:rsidP="00060F0B">
            <w:pPr>
              <w:jc w:val="center"/>
              <w:rPr>
                <w:rFonts w:ascii="Calibri" w:hAnsi="Calibri"/>
                <w:color w:val="000000"/>
                <w:sz w:val="18"/>
              </w:rPr>
            </w:pPr>
            <w:r w:rsidRPr="00AE3251">
              <w:rPr>
                <w:rFonts w:ascii="Calibri" w:hAnsi="Calibri"/>
                <w:color w:val="000000"/>
                <w:sz w:val="18"/>
              </w:rPr>
              <w:t>22.7%</w:t>
            </w:r>
          </w:p>
        </w:tc>
      </w:tr>
      <w:tr w:rsidR="00BE50DA" w:rsidRPr="00AE3251" w:rsidTr="00060F0B">
        <w:trPr>
          <w:gridAfter w:val="1"/>
          <w:wAfter w:w="30" w:type="dxa"/>
          <w:trHeight w:val="454"/>
          <w:jc w:val="center"/>
        </w:trPr>
        <w:tc>
          <w:tcPr>
            <w:tcW w:w="2268" w:type="dxa"/>
            <w:vAlign w:val="center"/>
          </w:tcPr>
          <w:p w:rsidR="00BE50DA" w:rsidRPr="00AE3251" w:rsidRDefault="00BE50DA" w:rsidP="00060F0B">
            <w:pPr>
              <w:jc w:val="center"/>
              <w:rPr>
                <w:sz w:val="18"/>
                <w:szCs w:val="20"/>
              </w:rPr>
            </w:pPr>
            <w:r w:rsidRPr="00AE3251">
              <w:rPr>
                <w:sz w:val="18"/>
                <w:szCs w:val="20"/>
              </w:rPr>
              <w:t>Pension fund</w:t>
            </w:r>
          </w:p>
        </w:tc>
        <w:tc>
          <w:tcPr>
            <w:tcW w:w="1247" w:type="dxa"/>
            <w:vAlign w:val="center"/>
          </w:tcPr>
          <w:p w:rsidR="00BE50DA" w:rsidRPr="00AE3251" w:rsidRDefault="00BE50DA" w:rsidP="00060F0B">
            <w:pPr>
              <w:jc w:val="center"/>
              <w:rPr>
                <w:rFonts w:ascii="Calibri" w:hAnsi="Calibri"/>
                <w:color w:val="000000"/>
                <w:sz w:val="18"/>
              </w:rPr>
            </w:pPr>
            <w:r w:rsidRPr="00AE3251">
              <w:rPr>
                <w:rFonts w:ascii="Calibri" w:hAnsi="Calibri"/>
                <w:color w:val="000000"/>
                <w:sz w:val="18"/>
              </w:rPr>
              <w:t>17.6%</w:t>
            </w:r>
          </w:p>
        </w:tc>
        <w:tc>
          <w:tcPr>
            <w:tcW w:w="236" w:type="dxa"/>
            <w:vAlign w:val="center"/>
          </w:tcPr>
          <w:p w:rsidR="00BE50DA" w:rsidRPr="00AE3251" w:rsidRDefault="00BE50DA" w:rsidP="00060F0B">
            <w:pPr>
              <w:jc w:val="center"/>
              <w:rPr>
                <w:rFonts w:ascii="Calibri" w:hAnsi="Calibri"/>
                <w:color w:val="000000"/>
                <w:sz w:val="18"/>
              </w:rPr>
            </w:pPr>
          </w:p>
        </w:tc>
        <w:tc>
          <w:tcPr>
            <w:tcW w:w="1247" w:type="dxa"/>
            <w:vAlign w:val="center"/>
          </w:tcPr>
          <w:p w:rsidR="00BE50DA" w:rsidRPr="00AE3251" w:rsidRDefault="00BE50DA" w:rsidP="00060F0B">
            <w:pPr>
              <w:jc w:val="center"/>
              <w:rPr>
                <w:rFonts w:ascii="Calibri" w:hAnsi="Calibri"/>
                <w:color w:val="000000"/>
                <w:sz w:val="18"/>
              </w:rPr>
            </w:pPr>
            <w:r w:rsidRPr="00AE3251">
              <w:rPr>
                <w:rFonts w:ascii="Calibri" w:hAnsi="Calibri"/>
                <w:color w:val="000000"/>
                <w:sz w:val="18"/>
              </w:rPr>
              <w:t>16.9%</w:t>
            </w:r>
          </w:p>
        </w:tc>
        <w:tc>
          <w:tcPr>
            <w:tcW w:w="236" w:type="dxa"/>
            <w:vAlign w:val="center"/>
          </w:tcPr>
          <w:p w:rsidR="00BE50DA" w:rsidRPr="00AE3251" w:rsidRDefault="00BE50DA" w:rsidP="00060F0B">
            <w:pPr>
              <w:jc w:val="center"/>
              <w:rPr>
                <w:rFonts w:ascii="Calibri" w:hAnsi="Calibri"/>
                <w:color w:val="000000"/>
                <w:sz w:val="18"/>
              </w:rPr>
            </w:pPr>
          </w:p>
        </w:tc>
        <w:tc>
          <w:tcPr>
            <w:tcW w:w="1247" w:type="dxa"/>
            <w:vAlign w:val="center"/>
          </w:tcPr>
          <w:p w:rsidR="00BE50DA" w:rsidRPr="00AE3251" w:rsidRDefault="00BE50DA" w:rsidP="00060F0B">
            <w:pPr>
              <w:jc w:val="center"/>
              <w:rPr>
                <w:rFonts w:ascii="Calibri" w:hAnsi="Calibri"/>
                <w:color w:val="000000"/>
                <w:sz w:val="18"/>
              </w:rPr>
            </w:pPr>
            <w:r w:rsidRPr="00AE3251">
              <w:rPr>
                <w:rFonts w:ascii="Calibri" w:hAnsi="Calibri"/>
                <w:color w:val="000000"/>
                <w:sz w:val="18"/>
              </w:rPr>
              <w:t>24.7%</w:t>
            </w:r>
          </w:p>
        </w:tc>
        <w:tc>
          <w:tcPr>
            <w:tcW w:w="236" w:type="dxa"/>
            <w:vAlign w:val="center"/>
          </w:tcPr>
          <w:p w:rsidR="00BE50DA" w:rsidRPr="00AE3251" w:rsidRDefault="00BE50DA" w:rsidP="00060F0B">
            <w:pPr>
              <w:jc w:val="center"/>
              <w:rPr>
                <w:rFonts w:ascii="Calibri" w:hAnsi="Calibri"/>
                <w:color w:val="000000"/>
                <w:sz w:val="18"/>
              </w:rPr>
            </w:pPr>
          </w:p>
        </w:tc>
        <w:tc>
          <w:tcPr>
            <w:tcW w:w="1247" w:type="dxa"/>
            <w:vAlign w:val="center"/>
          </w:tcPr>
          <w:p w:rsidR="00BE50DA" w:rsidRPr="00AE3251" w:rsidRDefault="00BE50DA" w:rsidP="00060F0B">
            <w:pPr>
              <w:jc w:val="center"/>
              <w:rPr>
                <w:rFonts w:ascii="Calibri" w:hAnsi="Calibri"/>
                <w:color w:val="000000"/>
                <w:sz w:val="18"/>
              </w:rPr>
            </w:pPr>
            <w:r w:rsidRPr="00AE3251">
              <w:rPr>
                <w:rFonts w:ascii="Calibri" w:hAnsi="Calibri"/>
                <w:color w:val="000000"/>
                <w:sz w:val="18"/>
              </w:rPr>
              <w:t>23.3%</w:t>
            </w:r>
          </w:p>
        </w:tc>
      </w:tr>
      <w:tr w:rsidR="00BE50DA" w:rsidRPr="00AE3251" w:rsidTr="00060F0B">
        <w:trPr>
          <w:gridAfter w:val="1"/>
          <w:wAfter w:w="30" w:type="dxa"/>
          <w:trHeight w:val="454"/>
          <w:jc w:val="center"/>
        </w:trPr>
        <w:tc>
          <w:tcPr>
            <w:tcW w:w="2268" w:type="dxa"/>
            <w:vAlign w:val="center"/>
          </w:tcPr>
          <w:p w:rsidR="00BE50DA" w:rsidRPr="00AE3251" w:rsidRDefault="00BE50DA" w:rsidP="00060F0B">
            <w:pPr>
              <w:jc w:val="center"/>
              <w:rPr>
                <w:sz w:val="18"/>
                <w:szCs w:val="20"/>
              </w:rPr>
            </w:pPr>
            <w:r w:rsidRPr="00AE3251">
              <w:rPr>
                <w:sz w:val="18"/>
                <w:szCs w:val="20"/>
              </w:rPr>
              <w:t>Pure equity fund</w:t>
            </w:r>
          </w:p>
        </w:tc>
        <w:tc>
          <w:tcPr>
            <w:tcW w:w="1247" w:type="dxa"/>
            <w:vAlign w:val="center"/>
          </w:tcPr>
          <w:p w:rsidR="00BE50DA" w:rsidRPr="00AE3251" w:rsidRDefault="00BE50DA" w:rsidP="00060F0B">
            <w:pPr>
              <w:jc w:val="center"/>
              <w:rPr>
                <w:rFonts w:ascii="Calibri" w:hAnsi="Calibri"/>
                <w:color w:val="000000"/>
                <w:sz w:val="18"/>
              </w:rPr>
            </w:pPr>
            <w:r w:rsidRPr="00AE3251">
              <w:rPr>
                <w:rFonts w:ascii="Calibri" w:hAnsi="Calibri"/>
                <w:color w:val="000000"/>
                <w:sz w:val="18"/>
              </w:rPr>
              <w:t>2.9%</w:t>
            </w:r>
          </w:p>
        </w:tc>
        <w:tc>
          <w:tcPr>
            <w:tcW w:w="236" w:type="dxa"/>
            <w:vAlign w:val="center"/>
          </w:tcPr>
          <w:p w:rsidR="00BE50DA" w:rsidRPr="00AE3251" w:rsidRDefault="00BE50DA" w:rsidP="00060F0B">
            <w:pPr>
              <w:jc w:val="center"/>
              <w:rPr>
                <w:rFonts w:ascii="Calibri" w:hAnsi="Calibri"/>
                <w:color w:val="000000"/>
                <w:sz w:val="18"/>
              </w:rPr>
            </w:pPr>
          </w:p>
        </w:tc>
        <w:tc>
          <w:tcPr>
            <w:tcW w:w="1247" w:type="dxa"/>
            <w:vAlign w:val="center"/>
          </w:tcPr>
          <w:p w:rsidR="00BE50DA" w:rsidRPr="00AE3251" w:rsidRDefault="00BE50DA" w:rsidP="00060F0B">
            <w:pPr>
              <w:jc w:val="center"/>
              <w:rPr>
                <w:rFonts w:ascii="Calibri" w:hAnsi="Calibri"/>
                <w:color w:val="000000"/>
                <w:sz w:val="18"/>
              </w:rPr>
            </w:pPr>
            <w:r w:rsidRPr="00AE3251">
              <w:rPr>
                <w:rFonts w:ascii="Calibri" w:hAnsi="Calibri"/>
                <w:color w:val="000000"/>
                <w:sz w:val="18"/>
              </w:rPr>
              <w:t>2.3%</w:t>
            </w:r>
          </w:p>
        </w:tc>
        <w:tc>
          <w:tcPr>
            <w:tcW w:w="236" w:type="dxa"/>
            <w:vAlign w:val="center"/>
          </w:tcPr>
          <w:p w:rsidR="00BE50DA" w:rsidRPr="00AE3251" w:rsidRDefault="00BE50DA" w:rsidP="00060F0B">
            <w:pPr>
              <w:jc w:val="center"/>
              <w:rPr>
                <w:rFonts w:ascii="Calibri" w:hAnsi="Calibri"/>
                <w:color w:val="000000"/>
                <w:sz w:val="18"/>
              </w:rPr>
            </w:pPr>
          </w:p>
        </w:tc>
        <w:tc>
          <w:tcPr>
            <w:tcW w:w="1247" w:type="dxa"/>
            <w:vAlign w:val="center"/>
          </w:tcPr>
          <w:p w:rsidR="00BE50DA" w:rsidRPr="00AE3251" w:rsidRDefault="00BE50DA" w:rsidP="00060F0B">
            <w:pPr>
              <w:jc w:val="center"/>
              <w:rPr>
                <w:rFonts w:ascii="Calibri" w:hAnsi="Calibri"/>
                <w:color w:val="000000"/>
                <w:sz w:val="18"/>
              </w:rPr>
            </w:pPr>
            <w:r w:rsidRPr="00AE3251">
              <w:rPr>
                <w:rFonts w:ascii="Calibri" w:hAnsi="Calibri"/>
                <w:color w:val="000000"/>
                <w:sz w:val="18"/>
              </w:rPr>
              <w:t>3.4%</w:t>
            </w:r>
          </w:p>
        </w:tc>
        <w:tc>
          <w:tcPr>
            <w:tcW w:w="236" w:type="dxa"/>
            <w:vAlign w:val="center"/>
          </w:tcPr>
          <w:p w:rsidR="00BE50DA" w:rsidRPr="00AE3251" w:rsidRDefault="00BE50DA" w:rsidP="00060F0B">
            <w:pPr>
              <w:jc w:val="center"/>
              <w:rPr>
                <w:rFonts w:ascii="Calibri" w:hAnsi="Calibri"/>
                <w:color w:val="000000"/>
                <w:sz w:val="18"/>
              </w:rPr>
            </w:pPr>
          </w:p>
        </w:tc>
        <w:tc>
          <w:tcPr>
            <w:tcW w:w="1247" w:type="dxa"/>
            <w:vAlign w:val="center"/>
          </w:tcPr>
          <w:p w:rsidR="00BE50DA" w:rsidRPr="00AE3251" w:rsidRDefault="00BE50DA" w:rsidP="00060F0B">
            <w:pPr>
              <w:jc w:val="center"/>
              <w:rPr>
                <w:rFonts w:ascii="Calibri" w:hAnsi="Calibri"/>
                <w:color w:val="000000"/>
                <w:sz w:val="18"/>
              </w:rPr>
            </w:pPr>
            <w:r w:rsidRPr="00AE3251">
              <w:rPr>
                <w:rFonts w:ascii="Calibri" w:hAnsi="Calibri"/>
                <w:color w:val="000000"/>
                <w:sz w:val="18"/>
              </w:rPr>
              <w:t>5.8%</w:t>
            </w:r>
          </w:p>
        </w:tc>
      </w:tr>
      <w:tr w:rsidR="00BE50DA" w:rsidRPr="00AE3251" w:rsidTr="00060F0B">
        <w:trPr>
          <w:gridAfter w:val="1"/>
          <w:wAfter w:w="30" w:type="dxa"/>
          <w:trHeight w:val="454"/>
          <w:jc w:val="center"/>
        </w:trPr>
        <w:tc>
          <w:tcPr>
            <w:tcW w:w="2268" w:type="dxa"/>
            <w:tcBorders>
              <w:bottom w:val="single" w:sz="4" w:space="0" w:color="auto"/>
            </w:tcBorders>
            <w:vAlign w:val="center"/>
          </w:tcPr>
          <w:p w:rsidR="00BE50DA" w:rsidRPr="00AE3251" w:rsidRDefault="00BE50DA" w:rsidP="00060F0B">
            <w:pPr>
              <w:jc w:val="center"/>
              <w:rPr>
                <w:sz w:val="18"/>
                <w:szCs w:val="20"/>
              </w:rPr>
            </w:pPr>
            <w:r w:rsidRPr="00AE3251">
              <w:rPr>
                <w:sz w:val="18"/>
                <w:szCs w:val="20"/>
              </w:rPr>
              <w:t>Pure bond fund</w:t>
            </w:r>
          </w:p>
        </w:tc>
        <w:tc>
          <w:tcPr>
            <w:tcW w:w="1247" w:type="dxa"/>
            <w:tcBorders>
              <w:bottom w:val="single" w:sz="4" w:space="0" w:color="auto"/>
            </w:tcBorders>
            <w:vAlign w:val="center"/>
          </w:tcPr>
          <w:p w:rsidR="00BE50DA" w:rsidRPr="00AE3251" w:rsidRDefault="00BE50DA" w:rsidP="00060F0B">
            <w:pPr>
              <w:jc w:val="center"/>
              <w:rPr>
                <w:rFonts w:ascii="Calibri" w:hAnsi="Calibri"/>
                <w:color w:val="000000"/>
                <w:sz w:val="18"/>
              </w:rPr>
            </w:pPr>
            <w:r w:rsidRPr="00AE3251">
              <w:rPr>
                <w:rFonts w:ascii="Calibri" w:hAnsi="Calibri"/>
                <w:color w:val="000000"/>
                <w:sz w:val="18"/>
              </w:rPr>
              <w:t>0.1%</w:t>
            </w:r>
          </w:p>
        </w:tc>
        <w:tc>
          <w:tcPr>
            <w:tcW w:w="236" w:type="dxa"/>
            <w:tcBorders>
              <w:bottom w:val="single" w:sz="4" w:space="0" w:color="auto"/>
            </w:tcBorders>
            <w:vAlign w:val="center"/>
          </w:tcPr>
          <w:p w:rsidR="00BE50DA" w:rsidRPr="00AE3251" w:rsidRDefault="00BE50DA" w:rsidP="00060F0B">
            <w:pPr>
              <w:jc w:val="center"/>
              <w:rPr>
                <w:rFonts w:ascii="Calibri" w:hAnsi="Calibri"/>
                <w:color w:val="000000"/>
                <w:sz w:val="18"/>
              </w:rPr>
            </w:pPr>
          </w:p>
        </w:tc>
        <w:tc>
          <w:tcPr>
            <w:tcW w:w="1247" w:type="dxa"/>
            <w:tcBorders>
              <w:bottom w:val="single" w:sz="4" w:space="0" w:color="auto"/>
            </w:tcBorders>
            <w:vAlign w:val="center"/>
          </w:tcPr>
          <w:p w:rsidR="00BE50DA" w:rsidRPr="00AE3251" w:rsidRDefault="00BE50DA" w:rsidP="00060F0B">
            <w:pPr>
              <w:jc w:val="center"/>
              <w:rPr>
                <w:rFonts w:ascii="Calibri" w:hAnsi="Calibri"/>
                <w:color w:val="000000"/>
                <w:sz w:val="18"/>
              </w:rPr>
            </w:pPr>
            <w:r w:rsidRPr="00AE3251">
              <w:rPr>
                <w:rFonts w:ascii="Calibri" w:hAnsi="Calibri"/>
                <w:color w:val="000000"/>
                <w:sz w:val="18"/>
              </w:rPr>
              <w:t>3.1%</w:t>
            </w:r>
          </w:p>
        </w:tc>
        <w:tc>
          <w:tcPr>
            <w:tcW w:w="236" w:type="dxa"/>
            <w:tcBorders>
              <w:bottom w:val="single" w:sz="4" w:space="0" w:color="auto"/>
            </w:tcBorders>
            <w:vAlign w:val="center"/>
          </w:tcPr>
          <w:p w:rsidR="00BE50DA" w:rsidRPr="00AE3251" w:rsidRDefault="00BE50DA" w:rsidP="00060F0B">
            <w:pPr>
              <w:jc w:val="center"/>
              <w:rPr>
                <w:rFonts w:ascii="Calibri" w:hAnsi="Calibri"/>
                <w:color w:val="000000"/>
                <w:sz w:val="18"/>
              </w:rPr>
            </w:pPr>
          </w:p>
        </w:tc>
        <w:tc>
          <w:tcPr>
            <w:tcW w:w="1247" w:type="dxa"/>
            <w:tcBorders>
              <w:bottom w:val="single" w:sz="4" w:space="0" w:color="auto"/>
            </w:tcBorders>
            <w:vAlign w:val="center"/>
          </w:tcPr>
          <w:p w:rsidR="00BE50DA" w:rsidRPr="00AE3251" w:rsidRDefault="00BE50DA" w:rsidP="00060F0B">
            <w:pPr>
              <w:jc w:val="center"/>
              <w:rPr>
                <w:rFonts w:ascii="Calibri" w:hAnsi="Calibri"/>
                <w:color w:val="000000"/>
                <w:sz w:val="18"/>
              </w:rPr>
            </w:pPr>
            <w:r w:rsidRPr="00AE3251">
              <w:rPr>
                <w:rFonts w:ascii="Calibri" w:hAnsi="Calibri"/>
                <w:color w:val="000000"/>
                <w:sz w:val="18"/>
              </w:rPr>
              <w:t>26.0%</w:t>
            </w:r>
          </w:p>
        </w:tc>
        <w:tc>
          <w:tcPr>
            <w:tcW w:w="236" w:type="dxa"/>
            <w:tcBorders>
              <w:bottom w:val="single" w:sz="4" w:space="0" w:color="auto"/>
            </w:tcBorders>
            <w:vAlign w:val="center"/>
          </w:tcPr>
          <w:p w:rsidR="00BE50DA" w:rsidRPr="00AE3251" w:rsidRDefault="00BE50DA" w:rsidP="00060F0B">
            <w:pPr>
              <w:jc w:val="center"/>
              <w:rPr>
                <w:rFonts w:ascii="Calibri" w:hAnsi="Calibri"/>
                <w:color w:val="000000"/>
                <w:sz w:val="18"/>
              </w:rPr>
            </w:pPr>
          </w:p>
        </w:tc>
        <w:tc>
          <w:tcPr>
            <w:tcW w:w="1247" w:type="dxa"/>
            <w:tcBorders>
              <w:bottom w:val="single" w:sz="4" w:space="0" w:color="auto"/>
            </w:tcBorders>
            <w:vAlign w:val="center"/>
          </w:tcPr>
          <w:p w:rsidR="00BE50DA" w:rsidRPr="00AE3251" w:rsidRDefault="00BE50DA" w:rsidP="00060F0B">
            <w:pPr>
              <w:jc w:val="center"/>
              <w:rPr>
                <w:rFonts w:ascii="Calibri" w:hAnsi="Calibri"/>
                <w:color w:val="000000"/>
                <w:sz w:val="18"/>
              </w:rPr>
            </w:pPr>
            <w:r w:rsidRPr="00AE3251">
              <w:rPr>
                <w:rFonts w:ascii="Calibri" w:hAnsi="Calibri"/>
                <w:color w:val="000000"/>
                <w:sz w:val="18"/>
              </w:rPr>
              <w:t>14.9%</w:t>
            </w:r>
          </w:p>
        </w:tc>
      </w:tr>
      <w:tr w:rsidR="00BE50DA" w:rsidRPr="00AE3251" w:rsidTr="00060F0B">
        <w:trPr>
          <w:trHeight w:val="340"/>
          <w:jc w:val="center"/>
        </w:trPr>
        <w:tc>
          <w:tcPr>
            <w:tcW w:w="7994" w:type="dxa"/>
            <w:gridSpan w:val="9"/>
            <w:tcBorders>
              <w:top w:val="single" w:sz="4" w:space="0" w:color="auto"/>
              <w:bottom w:val="single" w:sz="4" w:space="0" w:color="auto"/>
            </w:tcBorders>
            <w:vAlign w:val="center"/>
          </w:tcPr>
          <w:p w:rsidR="00BE50DA" w:rsidRPr="00AE3251" w:rsidRDefault="00BE50DA" w:rsidP="00060F0B">
            <w:pPr>
              <w:jc w:val="center"/>
              <w:rPr>
                <w:sz w:val="18"/>
                <w:szCs w:val="20"/>
              </w:rPr>
            </w:pPr>
            <w:r w:rsidRPr="00AE3251">
              <w:rPr>
                <w:sz w:val="18"/>
                <w:szCs w:val="20"/>
              </w:rPr>
              <w:t xml:space="preserve">Panel B: </w:t>
            </w:r>
            <w:r>
              <w:rPr>
                <w:sz w:val="18"/>
                <w:szCs w:val="20"/>
              </w:rPr>
              <w:t>Reduction</w:t>
            </w:r>
            <w:r w:rsidRPr="00AE3251">
              <w:rPr>
                <w:sz w:val="18"/>
                <w:szCs w:val="20"/>
              </w:rPr>
              <w:t xml:space="preserve"> in portfolio 99% RVaR as compared to average of asset components</w:t>
            </w:r>
          </w:p>
        </w:tc>
      </w:tr>
      <w:tr w:rsidR="00BE50DA" w:rsidRPr="00AE3251" w:rsidTr="00060F0B">
        <w:trPr>
          <w:gridAfter w:val="1"/>
          <w:wAfter w:w="30" w:type="dxa"/>
          <w:trHeight w:val="454"/>
          <w:jc w:val="center"/>
        </w:trPr>
        <w:tc>
          <w:tcPr>
            <w:tcW w:w="2268" w:type="dxa"/>
            <w:tcBorders>
              <w:top w:val="single" w:sz="4" w:space="0" w:color="auto"/>
            </w:tcBorders>
            <w:vAlign w:val="center"/>
          </w:tcPr>
          <w:p w:rsidR="00BE50DA" w:rsidRPr="00AE3251" w:rsidRDefault="00BE50DA" w:rsidP="00060F0B">
            <w:pPr>
              <w:jc w:val="center"/>
              <w:rPr>
                <w:sz w:val="18"/>
                <w:szCs w:val="20"/>
              </w:rPr>
            </w:pPr>
          </w:p>
        </w:tc>
        <w:tc>
          <w:tcPr>
            <w:tcW w:w="1247" w:type="dxa"/>
            <w:tcBorders>
              <w:top w:val="single" w:sz="4" w:space="0" w:color="auto"/>
              <w:bottom w:val="single" w:sz="4" w:space="0" w:color="auto"/>
            </w:tcBorders>
            <w:vAlign w:val="center"/>
          </w:tcPr>
          <w:p w:rsidR="00BE50DA" w:rsidRPr="00AE3251" w:rsidRDefault="00BE50DA" w:rsidP="00060F0B">
            <w:pPr>
              <w:jc w:val="center"/>
              <w:rPr>
                <w:sz w:val="18"/>
                <w:szCs w:val="20"/>
              </w:rPr>
            </w:pPr>
            <w:r w:rsidRPr="00AE3251">
              <w:rPr>
                <w:sz w:val="18"/>
                <w:szCs w:val="20"/>
              </w:rPr>
              <w:t>Pre-crisis period</w:t>
            </w:r>
          </w:p>
        </w:tc>
        <w:tc>
          <w:tcPr>
            <w:tcW w:w="236" w:type="dxa"/>
            <w:tcBorders>
              <w:top w:val="single" w:sz="4" w:space="0" w:color="auto"/>
            </w:tcBorders>
            <w:vAlign w:val="center"/>
          </w:tcPr>
          <w:p w:rsidR="00BE50DA" w:rsidRPr="00AE3251" w:rsidRDefault="00BE50DA" w:rsidP="00060F0B">
            <w:pPr>
              <w:jc w:val="center"/>
              <w:rPr>
                <w:sz w:val="18"/>
                <w:szCs w:val="20"/>
              </w:rPr>
            </w:pPr>
          </w:p>
        </w:tc>
        <w:tc>
          <w:tcPr>
            <w:tcW w:w="1247" w:type="dxa"/>
            <w:tcBorders>
              <w:top w:val="single" w:sz="4" w:space="0" w:color="auto"/>
              <w:bottom w:val="single" w:sz="4" w:space="0" w:color="auto"/>
            </w:tcBorders>
            <w:vAlign w:val="center"/>
          </w:tcPr>
          <w:p w:rsidR="00BE50DA" w:rsidRPr="00AE3251" w:rsidRDefault="00BE50DA" w:rsidP="00060F0B">
            <w:pPr>
              <w:jc w:val="center"/>
              <w:rPr>
                <w:sz w:val="18"/>
                <w:szCs w:val="20"/>
              </w:rPr>
            </w:pPr>
            <w:r w:rsidRPr="00AE3251">
              <w:rPr>
                <w:sz w:val="18"/>
                <w:szCs w:val="20"/>
              </w:rPr>
              <w:t>Subprime crisis period</w:t>
            </w:r>
          </w:p>
        </w:tc>
        <w:tc>
          <w:tcPr>
            <w:tcW w:w="236" w:type="dxa"/>
            <w:tcBorders>
              <w:top w:val="single" w:sz="4" w:space="0" w:color="auto"/>
            </w:tcBorders>
            <w:vAlign w:val="center"/>
          </w:tcPr>
          <w:p w:rsidR="00BE50DA" w:rsidRPr="00AE3251" w:rsidRDefault="00BE50DA" w:rsidP="00060F0B">
            <w:pPr>
              <w:jc w:val="center"/>
              <w:rPr>
                <w:sz w:val="18"/>
                <w:szCs w:val="20"/>
              </w:rPr>
            </w:pPr>
          </w:p>
        </w:tc>
        <w:tc>
          <w:tcPr>
            <w:tcW w:w="1247" w:type="dxa"/>
            <w:tcBorders>
              <w:top w:val="single" w:sz="4" w:space="0" w:color="auto"/>
              <w:bottom w:val="single" w:sz="4" w:space="0" w:color="auto"/>
            </w:tcBorders>
            <w:vAlign w:val="center"/>
          </w:tcPr>
          <w:p w:rsidR="00BE50DA" w:rsidRPr="00AE3251" w:rsidRDefault="00BE50DA" w:rsidP="00060F0B">
            <w:pPr>
              <w:jc w:val="center"/>
              <w:rPr>
                <w:sz w:val="18"/>
                <w:szCs w:val="20"/>
              </w:rPr>
            </w:pPr>
            <w:r w:rsidRPr="00AE3251">
              <w:rPr>
                <w:sz w:val="18"/>
                <w:szCs w:val="20"/>
              </w:rPr>
              <w:t>Sovereign crisis period I</w:t>
            </w:r>
          </w:p>
        </w:tc>
        <w:tc>
          <w:tcPr>
            <w:tcW w:w="236" w:type="dxa"/>
            <w:tcBorders>
              <w:top w:val="single" w:sz="4" w:space="0" w:color="auto"/>
            </w:tcBorders>
            <w:vAlign w:val="center"/>
          </w:tcPr>
          <w:p w:rsidR="00BE50DA" w:rsidRPr="00AE3251" w:rsidRDefault="00BE50DA" w:rsidP="00060F0B">
            <w:pPr>
              <w:jc w:val="center"/>
              <w:rPr>
                <w:sz w:val="18"/>
                <w:szCs w:val="20"/>
              </w:rPr>
            </w:pPr>
          </w:p>
        </w:tc>
        <w:tc>
          <w:tcPr>
            <w:tcW w:w="1247" w:type="dxa"/>
            <w:tcBorders>
              <w:top w:val="single" w:sz="4" w:space="0" w:color="auto"/>
              <w:bottom w:val="single" w:sz="4" w:space="0" w:color="auto"/>
            </w:tcBorders>
            <w:vAlign w:val="center"/>
          </w:tcPr>
          <w:p w:rsidR="00BE50DA" w:rsidRPr="00AE3251" w:rsidRDefault="00BE50DA" w:rsidP="00060F0B">
            <w:pPr>
              <w:jc w:val="center"/>
              <w:rPr>
                <w:sz w:val="18"/>
                <w:szCs w:val="20"/>
              </w:rPr>
            </w:pPr>
            <w:r w:rsidRPr="00AE3251">
              <w:rPr>
                <w:sz w:val="18"/>
                <w:szCs w:val="20"/>
              </w:rPr>
              <w:t>Sovereign crisis period II</w:t>
            </w:r>
          </w:p>
        </w:tc>
      </w:tr>
      <w:tr w:rsidR="00BE50DA" w:rsidRPr="00AE3251" w:rsidTr="00060F0B">
        <w:trPr>
          <w:gridAfter w:val="1"/>
          <w:wAfter w:w="30" w:type="dxa"/>
          <w:trHeight w:val="454"/>
          <w:jc w:val="center"/>
        </w:trPr>
        <w:tc>
          <w:tcPr>
            <w:tcW w:w="2268" w:type="dxa"/>
            <w:vAlign w:val="center"/>
          </w:tcPr>
          <w:p w:rsidR="00BE50DA" w:rsidRPr="00AE3251" w:rsidRDefault="00BE50DA" w:rsidP="00060F0B">
            <w:pPr>
              <w:jc w:val="center"/>
              <w:rPr>
                <w:sz w:val="18"/>
                <w:szCs w:val="20"/>
              </w:rPr>
            </w:pPr>
            <w:r w:rsidRPr="00AE3251">
              <w:rPr>
                <w:sz w:val="18"/>
                <w:szCs w:val="20"/>
              </w:rPr>
              <w:t>Diversified fund</w:t>
            </w:r>
          </w:p>
        </w:tc>
        <w:tc>
          <w:tcPr>
            <w:tcW w:w="1247" w:type="dxa"/>
            <w:vAlign w:val="center"/>
          </w:tcPr>
          <w:p w:rsidR="00BE50DA" w:rsidRPr="00AE3251" w:rsidRDefault="00BE50DA" w:rsidP="00060F0B">
            <w:pPr>
              <w:jc w:val="center"/>
              <w:rPr>
                <w:rFonts w:ascii="Calibri" w:hAnsi="Calibri"/>
                <w:color w:val="000000"/>
                <w:sz w:val="18"/>
              </w:rPr>
            </w:pPr>
            <w:r w:rsidRPr="00AE3251">
              <w:rPr>
                <w:rFonts w:ascii="Calibri" w:hAnsi="Calibri"/>
                <w:color w:val="000000"/>
                <w:sz w:val="18"/>
              </w:rPr>
              <w:t>16.1%</w:t>
            </w:r>
          </w:p>
        </w:tc>
        <w:tc>
          <w:tcPr>
            <w:tcW w:w="236" w:type="dxa"/>
            <w:vAlign w:val="center"/>
          </w:tcPr>
          <w:p w:rsidR="00BE50DA" w:rsidRPr="00AE3251" w:rsidRDefault="00BE50DA" w:rsidP="00060F0B">
            <w:pPr>
              <w:jc w:val="center"/>
              <w:rPr>
                <w:rFonts w:ascii="Calibri" w:hAnsi="Calibri"/>
                <w:color w:val="000000"/>
                <w:sz w:val="18"/>
              </w:rPr>
            </w:pPr>
          </w:p>
        </w:tc>
        <w:tc>
          <w:tcPr>
            <w:tcW w:w="1247" w:type="dxa"/>
            <w:vAlign w:val="center"/>
          </w:tcPr>
          <w:p w:rsidR="00BE50DA" w:rsidRPr="00AE3251" w:rsidRDefault="00BE50DA" w:rsidP="00060F0B">
            <w:pPr>
              <w:jc w:val="center"/>
              <w:rPr>
                <w:rFonts w:ascii="Calibri" w:hAnsi="Calibri"/>
                <w:color w:val="000000"/>
                <w:sz w:val="18"/>
              </w:rPr>
            </w:pPr>
            <w:r w:rsidRPr="00AE3251">
              <w:rPr>
                <w:rFonts w:ascii="Calibri" w:hAnsi="Calibri"/>
                <w:color w:val="000000"/>
                <w:sz w:val="18"/>
              </w:rPr>
              <w:t>15.5%</w:t>
            </w:r>
          </w:p>
        </w:tc>
        <w:tc>
          <w:tcPr>
            <w:tcW w:w="236" w:type="dxa"/>
            <w:vAlign w:val="center"/>
          </w:tcPr>
          <w:p w:rsidR="00BE50DA" w:rsidRPr="00AE3251" w:rsidRDefault="00BE50DA" w:rsidP="00060F0B">
            <w:pPr>
              <w:jc w:val="center"/>
              <w:rPr>
                <w:rFonts w:ascii="Calibri" w:hAnsi="Calibri"/>
                <w:color w:val="000000"/>
                <w:sz w:val="18"/>
              </w:rPr>
            </w:pPr>
          </w:p>
        </w:tc>
        <w:tc>
          <w:tcPr>
            <w:tcW w:w="1247" w:type="dxa"/>
            <w:vAlign w:val="center"/>
          </w:tcPr>
          <w:p w:rsidR="00BE50DA" w:rsidRPr="00AE3251" w:rsidRDefault="00BE50DA" w:rsidP="00060F0B">
            <w:pPr>
              <w:jc w:val="center"/>
              <w:rPr>
                <w:rFonts w:ascii="Calibri" w:hAnsi="Calibri"/>
                <w:color w:val="000000"/>
                <w:sz w:val="18"/>
              </w:rPr>
            </w:pPr>
            <w:r w:rsidRPr="00AE3251">
              <w:rPr>
                <w:rFonts w:ascii="Calibri" w:hAnsi="Calibri"/>
                <w:color w:val="000000"/>
                <w:sz w:val="18"/>
              </w:rPr>
              <w:t>17.5%</w:t>
            </w:r>
          </w:p>
        </w:tc>
        <w:tc>
          <w:tcPr>
            <w:tcW w:w="236" w:type="dxa"/>
            <w:vAlign w:val="center"/>
          </w:tcPr>
          <w:p w:rsidR="00BE50DA" w:rsidRPr="00AE3251" w:rsidRDefault="00BE50DA" w:rsidP="00060F0B">
            <w:pPr>
              <w:jc w:val="center"/>
              <w:rPr>
                <w:rFonts w:ascii="Calibri" w:hAnsi="Calibri"/>
                <w:color w:val="000000"/>
                <w:sz w:val="18"/>
              </w:rPr>
            </w:pPr>
          </w:p>
        </w:tc>
        <w:tc>
          <w:tcPr>
            <w:tcW w:w="1247" w:type="dxa"/>
            <w:vAlign w:val="center"/>
          </w:tcPr>
          <w:p w:rsidR="00BE50DA" w:rsidRPr="00AE3251" w:rsidRDefault="00BE50DA" w:rsidP="00060F0B">
            <w:pPr>
              <w:jc w:val="center"/>
              <w:rPr>
                <w:rFonts w:ascii="Calibri" w:hAnsi="Calibri"/>
                <w:color w:val="000000"/>
                <w:sz w:val="18"/>
              </w:rPr>
            </w:pPr>
            <w:r w:rsidRPr="00AE3251">
              <w:rPr>
                <w:rFonts w:ascii="Calibri" w:hAnsi="Calibri"/>
                <w:color w:val="000000"/>
                <w:sz w:val="18"/>
              </w:rPr>
              <w:t>27.1%</w:t>
            </w:r>
          </w:p>
        </w:tc>
      </w:tr>
      <w:tr w:rsidR="00BE50DA" w:rsidRPr="00AE3251" w:rsidTr="00060F0B">
        <w:trPr>
          <w:gridAfter w:val="1"/>
          <w:wAfter w:w="30" w:type="dxa"/>
          <w:trHeight w:val="454"/>
          <w:jc w:val="center"/>
        </w:trPr>
        <w:tc>
          <w:tcPr>
            <w:tcW w:w="2268" w:type="dxa"/>
            <w:vAlign w:val="center"/>
          </w:tcPr>
          <w:p w:rsidR="00BE50DA" w:rsidRPr="00AE3251" w:rsidRDefault="00BE50DA" w:rsidP="00060F0B">
            <w:pPr>
              <w:jc w:val="center"/>
              <w:rPr>
                <w:sz w:val="18"/>
                <w:szCs w:val="20"/>
              </w:rPr>
            </w:pPr>
            <w:r w:rsidRPr="00AE3251">
              <w:rPr>
                <w:sz w:val="18"/>
                <w:szCs w:val="20"/>
              </w:rPr>
              <w:t>Aggressive growth/high yield fund</w:t>
            </w:r>
          </w:p>
        </w:tc>
        <w:tc>
          <w:tcPr>
            <w:tcW w:w="1247" w:type="dxa"/>
            <w:vAlign w:val="center"/>
          </w:tcPr>
          <w:p w:rsidR="00BE50DA" w:rsidRPr="00AE3251" w:rsidRDefault="00BE50DA" w:rsidP="00060F0B">
            <w:pPr>
              <w:jc w:val="center"/>
              <w:rPr>
                <w:rFonts w:ascii="Calibri" w:hAnsi="Calibri"/>
                <w:color w:val="000000"/>
                <w:sz w:val="18"/>
              </w:rPr>
            </w:pPr>
            <w:r w:rsidRPr="00AE3251">
              <w:rPr>
                <w:rFonts w:ascii="Calibri" w:hAnsi="Calibri"/>
                <w:color w:val="000000"/>
                <w:sz w:val="18"/>
              </w:rPr>
              <w:t>15.9%</w:t>
            </w:r>
          </w:p>
        </w:tc>
        <w:tc>
          <w:tcPr>
            <w:tcW w:w="236" w:type="dxa"/>
            <w:vAlign w:val="center"/>
          </w:tcPr>
          <w:p w:rsidR="00BE50DA" w:rsidRPr="00AE3251" w:rsidRDefault="00BE50DA" w:rsidP="00060F0B">
            <w:pPr>
              <w:jc w:val="center"/>
              <w:rPr>
                <w:rFonts w:ascii="Calibri" w:hAnsi="Calibri"/>
                <w:color w:val="000000"/>
                <w:sz w:val="18"/>
              </w:rPr>
            </w:pPr>
          </w:p>
        </w:tc>
        <w:tc>
          <w:tcPr>
            <w:tcW w:w="1247" w:type="dxa"/>
            <w:vAlign w:val="center"/>
          </w:tcPr>
          <w:p w:rsidR="00BE50DA" w:rsidRPr="00AE3251" w:rsidRDefault="00BE50DA" w:rsidP="00060F0B">
            <w:pPr>
              <w:jc w:val="center"/>
              <w:rPr>
                <w:rFonts w:ascii="Calibri" w:hAnsi="Calibri"/>
                <w:color w:val="000000"/>
                <w:sz w:val="18"/>
              </w:rPr>
            </w:pPr>
            <w:r w:rsidRPr="00AE3251">
              <w:rPr>
                <w:rFonts w:ascii="Calibri" w:hAnsi="Calibri"/>
                <w:color w:val="000000"/>
                <w:sz w:val="18"/>
              </w:rPr>
              <w:t>13.6%</w:t>
            </w:r>
          </w:p>
        </w:tc>
        <w:tc>
          <w:tcPr>
            <w:tcW w:w="236" w:type="dxa"/>
            <w:vAlign w:val="center"/>
          </w:tcPr>
          <w:p w:rsidR="00BE50DA" w:rsidRPr="00AE3251" w:rsidRDefault="00BE50DA" w:rsidP="00060F0B">
            <w:pPr>
              <w:jc w:val="center"/>
              <w:rPr>
                <w:rFonts w:ascii="Calibri" w:hAnsi="Calibri"/>
                <w:color w:val="000000"/>
                <w:sz w:val="18"/>
              </w:rPr>
            </w:pPr>
          </w:p>
        </w:tc>
        <w:tc>
          <w:tcPr>
            <w:tcW w:w="1247" w:type="dxa"/>
            <w:vAlign w:val="center"/>
          </w:tcPr>
          <w:p w:rsidR="00BE50DA" w:rsidRPr="00AE3251" w:rsidRDefault="00BE50DA" w:rsidP="00060F0B">
            <w:pPr>
              <w:jc w:val="center"/>
              <w:rPr>
                <w:rFonts w:ascii="Calibri" w:hAnsi="Calibri"/>
                <w:color w:val="000000"/>
                <w:sz w:val="18"/>
              </w:rPr>
            </w:pPr>
            <w:r w:rsidRPr="00AE3251">
              <w:rPr>
                <w:rFonts w:ascii="Calibri" w:hAnsi="Calibri"/>
                <w:color w:val="000000"/>
                <w:sz w:val="18"/>
              </w:rPr>
              <w:t>16.5%</w:t>
            </w:r>
          </w:p>
        </w:tc>
        <w:tc>
          <w:tcPr>
            <w:tcW w:w="236" w:type="dxa"/>
            <w:vAlign w:val="center"/>
          </w:tcPr>
          <w:p w:rsidR="00BE50DA" w:rsidRPr="00AE3251" w:rsidRDefault="00BE50DA" w:rsidP="00060F0B">
            <w:pPr>
              <w:jc w:val="center"/>
              <w:rPr>
                <w:rFonts w:ascii="Calibri" w:hAnsi="Calibri"/>
                <w:color w:val="000000"/>
                <w:sz w:val="18"/>
              </w:rPr>
            </w:pPr>
          </w:p>
        </w:tc>
        <w:tc>
          <w:tcPr>
            <w:tcW w:w="1247" w:type="dxa"/>
            <w:vAlign w:val="center"/>
          </w:tcPr>
          <w:p w:rsidR="00BE50DA" w:rsidRPr="00AE3251" w:rsidRDefault="00BE50DA" w:rsidP="00060F0B">
            <w:pPr>
              <w:jc w:val="center"/>
              <w:rPr>
                <w:rFonts w:ascii="Calibri" w:hAnsi="Calibri"/>
                <w:color w:val="000000"/>
                <w:sz w:val="18"/>
              </w:rPr>
            </w:pPr>
            <w:r w:rsidRPr="00AE3251">
              <w:rPr>
                <w:rFonts w:ascii="Calibri" w:hAnsi="Calibri"/>
                <w:color w:val="000000"/>
                <w:sz w:val="18"/>
              </w:rPr>
              <w:t>18.0%</w:t>
            </w:r>
          </w:p>
        </w:tc>
      </w:tr>
      <w:tr w:rsidR="00BE50DA" w:rsidRPr="00AE3251" w:rsidTr="00060F0B">
        <w:trPr>
          <w:gridAfter w:val="1"/>
          <w:wAfter w:w="30" w:type="dxa"/>
          <w:trHeight w:val="454"/>
          <w:jc w:val="center"/>
        </w:trPr>
        <w:tc>
          <w:tcPr>
            <w:tcW w:w="2268" w:type="dxa"/>
            <w:vAlign w:val="center"/>
          </w:tcPr>
          <w:p w:rsidR="00BE50DA" w:rsidRPr="00AE3251" w:rsidRDefault="00BE50DA" w:rsidP="00060F0B">
            <w:pPr>
              <w:jc w:val="center"/>
              <w:rPr>
                <w:sz w:val="18"/>
                <w:szCs w:val="20"/>
              </w:rPr>
            </w:pPr>
            <w:r w:rsidRPr="00AE3251">
              <w:rPr>
                <w:sz w:val="18"/>
                <w:szCs w:val="20"/>
              </w:rPr>
              <w:t>Pension fund</w:t>
            </w:r>
          </w:p>
        </w:tc>
        <w:tc>
          <w:tcPr>
            <w:tcW w:w="1247" w:type="dxa"/>
            <w:vAlign w:val="center"/>
          </w:tcPr>
          <w:p w:rsidR="00BE50DA" w:rsidRPr="00AE3251" w:rsidRDefault="00BE50DA" w:rsidP="00060F0B">
            <w:pPr>
              <w:jc w:val="center"/>
              <w:rPr>
                <w:rFonts w:ascii="Calibri" w:hAnsi="Calibri"/>
                <w:color w:val="000000"/>
                <w:sz w:val="18"/>
              </w:rPr>
            </w:pPr>
            <w:r w:rsidRPr="00AE3251">
              <w:rPr>
                <w:rFonts w:ascii="Calibri" w:hAnsi="Calibri"/>
                <w:color w:val="000000"/>
                <w:sz w:val="18"/>
              </w:rPr>
              <w:t>14.9%</w:t>
            </w:r>
          </w:p>
        </w:tc>
        <w:tc>
          <w:tcPr>
            <w:tcW w:w="236" w:type="dxa"/>
            <w:vAlign w:val="center"/>
          </w:tcPr>
          <w:p w:rsidR="00BE50DA" w:rsidRPr="00AE3251" w:rsidRDefault="00BE50DA" w:rsidP="00060F0B">
            <w:pPr>
              <w:jc w:val="center"/>
              <w:rPr>
                <w:rFonts w:ascii="Calibri" w:hAnsi="Calibri"/>
                <w:color w:val="000000"/>
                <w:sz w:val="18"/>
              </w:rPr>
            </w:pPr>
          </w:p>
        </w:tc>
        <w:tc>
          <w:tcPr>
            <w:tcW w:w="1247" w:type="dxa"/>
            <w:vAlign w:val="center"/>
          </w:tcPr>
          <w:p w:rsidR="00BE50DA" w:rsidRPr="00AE3251" w:rsidRDefault="00BE50DA" w:rsidP="00060F0B">
            <w:pPr>
              <w:jc w:val="center"/>
              <w:rPr>
                <w:rFonts w:ascii="Calibri" w:hAnsi="Calibri"/>
                <w:color w:val="000000"/>
                <w:sz w:val="18"/>
              </w:rPr>
            </w:pPr>
            <w:r w:rsidRPr="00AE3251">
              <w:rPr>
                <w:rFonts w:ascii="Calibri" w:hAnsi="Calibri"/>
                <w:color w:val="000000"/>
                <w:sz w:val="18"/>
              </w:rPr>
              <w:t>15.9%</w:t>
            </w:r>
          </w:p>
        </w:tc>
        <w:tc>
          <w:tcPr>
            <w:tcW w:w="236" w:type="dxa"/>
            <w:vAlign w:val="center"/>
          </w:tcPr>
          <w:p w:rsidR="00BE50DA" w:rsidRPr="00AE3251" w:rsidRDefault="00BE50DA" w:rsidP="00060F0B">
            <w:pPr>
              <w:jc w:val="center"/>
              <w:rPr>
                <w:rFonts w:ascii="Calibri" w:hAnsi="Calibri"/>
                <w:color w:val="000000"/>
                <w:sz w:val="18"/>
              </w:rPr>
            </w:pPr>
          </w:p>
        </w:tc>
        <w:tc>
          <w:tcPr>
            <w:tcW w:w="1247" w:type="dxa"/>
            <w:vAlign w:val="center"/>
          </w:tcPr>
          <w:p w:rsidR="00BE50DA" w:rsidRPr="00AE3251" w:rsidRDefault="00BE50DA" w:rsidP="00060F0B">
            <w:pPr>
              <w:jc w:val="center"/>
              <w:rPr>
                <w:rFonts w:ascii="Calibri" w:hAnsi="Calibri"/>
                <w:color w:val="000000"/>
                <w:sz w:val="18"/>
              </w:rPr>
            </w:pPr>
            <w:r w:rsidRPr="00AE3251">
              <w:rPr>
                <w:rFonts w:ascii="Calibri" w:hAnsi="Calibri"/>
                <w:color w:val="000000"/>
                <w:sz w:val="18"/>
              </w:rPr>
              <w:t>28.8%</w:t>
            </w:r>
          </w:p>
        </w:tc>
        <w:tc>
          <w:tcPr>
            <w:tcW w:w="236" w:type="dxa"/>
            <w:vAlign w:val="center"/>
          </w:tcPr>
          <w:p w:rsidR="00BE50DA" w:rsidRPr="00AE3251" w:rsidRDefault="00BE50DA" w:rsidP="00060F0B">
            <w:pPr>
              <w:jc w:val="center"/>
              <w:rPr>
                <w:rFonts w:ascii="Calibri" w:hAnsi="Calibri"/>
                <w:color w:val="000000"/>
                <w:sz w:val="18"/>
              </w:rPr>
            </w:pPr>
          </w:p>
        </w:tc>
        <w:tc>
          <w:tcPr>
            <w:tcW w:w="1247" w:type="dxa"/>
            <w:vAlign w:val="center"/>
          </w:tcPr>
          <w:p w:rsidR="00BE50DA" w:rsidRPr="00AE3251" w:rsidRDefault="00BE50DA" w:rsidP="00060F0B">
            <w:pPr>
              <w:jc w:val="center"/>
              <w:rPr>
                <w:rFonts w:ascii="Calibri" w:hAnsi="Calibri"/>
                <w:color w:val="000000"/>
                <w:sz w:val="18"/>
              </w:rPr>
            </w:pPr>
            <w:r w:rsidRPr="00AE3251">
              <w:rPr>
                <w:rFonts w:ascii="Calibri" w:hAnsi="Calibri"/>
                <w:color w:val="000000"/>
                <w:sz w:val="18"/>
              </w:rPr>
              <w:t>19.7%</w:t>
            </w:r>
          </w:p>
        </w:tc>
      </w:tr>
      <w:tr w:rsidR="00BE50DA" w:rsidRPr="00AE3251" w:rsidTr="00060F0B">
        <w:trPr>
          <w:gridAfter w:val="1"/>
          <w:wAfter w:w="30" w:type="dxa"/>
          <w:trHeight w:val="454"/>
          <w:jc w:val="center"/>
        </w:trPr>
        <w:tc>
          <w:tcPr>
            <w:tcW w:w="2268" w:type="dxa"/>
            <w:vAlign w:val="center"/>
          </w:tcPr>
          <w:p w:rsidR="00BE50DA" w:rsidRPr="00AE3251" w:rsidRDefault="00BE50DA" w:rsidP="00060F0B">
            <w:pPr>
              <w:jc w:val="center"/>
              <w:rPr>
                <w:sz w:val="18"/>
                <w:szCs w:val="20"/>
              </w:rPr>
            </w:pPr>
            <w:r w:rsidRPr="00AE3251">
              <w:rPr>
                <w:sz w:val="18"/>
                <w:szCs w:val="20"/>
              </w:rPr>
              <w:t>Pure equity fund</w:t>
            </w:r>
          </w:p>
        </w:tc>
        <w:tc>
          <w:tcPr>
            <w:tcW w:w="1247" w:type="dxa"/>
            <w:vAlign w:val="center"/>
          </w:tcPr>
          <w:p w:rsidR="00BE50DA" w:rsidRPr="00AE3251" w:rsidRDefault="00BE50DA" w:rsidP="00060F0B">
            <w:pPr>
              <w:jc w:val="center"/>
              <w:rPr>
                <w:rFonts w:ascii="Calibri" w:hAnsi="Calibri"/>
                <w:color w:val="000000"/>
                <w:sz w:val="18"/>
              </w:rPr>
            </w:pPr>
            <w:r w:rsidRPr="00AE3251">
              <w:rPr>
                <w:rFonts w:ascii="Calibri" w:hAnsi="Calibri"/>
                <w:color w:val="000000"/>
                <w:sz w:val="18"/>
              </w:rPr>
              <w:t>-5.2%</w:t>
            </w:r>
          </w:p>
        </w:tc>
        <w:tc>
          <w:tcPr>
            <w:tcW w:w="236" w:type="dxa"/>
            <w:vAlign w:val="center"/>
          </w:tcPr>
          <w:p w:rsidR="00BE50DA" w:rsidRPr="00AE3251" w:rsidRDefault="00BE50DA" w:rsidP="00060F0B">
            <w:pPr>
              <w:jc w:val="center"/>
              <w:rPr>
                <w:rFonts w:ascii="Calibri" w:hAnsi="Calibri"/>
                <w:color w:val="000000"/>
                <w:sz w:val="18"/>
              </w:rPr>
            </w:pPr>
          </w:p>
        </w:tc>
        <w:tc>
          <w:tcPr>
            <w:tcW w:w="1247" w:type="dxa"/>
            <w:vAlign w:val="center"/>
          </w:tcPr>
          <w:p w:rsidR="00BE50DA" w:rsidRPr="00AE3251" w:rsidRDefault="00BE50DA" w:rsidP="00060F0B">
            <w:pPr>
              <w:jc w:val="center"/>
              <w:rPr>
                <w:rFonts w:ascii="Calibri" w:hAnsi="Calibri"/>
                <w:color w:val="000000"/>
                <w:sz w:val="18"/>
              </w:rPr>
            </w:pPr>
            <w:r w:rsidRPr="00AE3251">
              <w:rPr>
                <w:rFonts w:ascii="Calibri" w:hAnsi="Calibri"/>
                <w:color w:val="000000"/>
                <w:sz w:val="18"/>
              </w:rPr>
              <w:t>2.2%</w:t>
            </w:r>
          </w:p>
        </w:tc>
        <w:tc>
          <w:tcPr>
            <w:tcW w:w="236" w:type="dxa"/>
            <w:vAlign w:val="center"/>
          </w:tcPr>
          <w:p w:rsidR="00BE50DA" w:rsidRPr="00AE3251" w:rsidRDefault="00BE50DA" w:rsidP="00060F0B">
            <w:pPr>
              <w:jc w:val="center"/>
              <w:rPr>
                <w:rFonts w:ascii="Calibri" w:hAnsi="Calibri"/>
                <w:color w:val="000000"/>
                <w:sz w:val="18"/>
              </w:rPr>
            </w:pPr>
          </w:p>
        </w:tc>
        <w:tc>
          <w:tcPr>
            <w:tcW w:w="1247" w:type="dxa"/>
            <w:vAlign w:val="center"/>
          </w:tcPr>
          <w:p w:rsidR="00BE50DA" w:rsidRPr="00AE3251" w:rsidRDefault="00BE50DA" w:rsidP="00060F0B">
            <w:pPr>
              <w:jc w:val="center"/>
              <w:rPr>
                <w:rFonts w:ascii="Calibri" w:hAnsi="Calibri"/>
                <w:color w:val="000000"/>
                <w:sz w:val="18"/>
              </w:rPr>
            </w:pPr>
            <w:r w:rsidRPr="00AE3251">
              <w:rPr>
                <w:rFonts w:ascii="Calibri" w:hAnsi="Calibri"/>
                <w:color w:val="000000"/>
                <w:sz w:val="18"/>
              </w:rPr>
              <w:t>0.2%</w:t>
            </w:r>
          </w:p>
        </w:tc>
        <w:tc>
          <w:tcPr>
            <w:tcW w:w="236" w:type="dxa"/>
            <w:vAlign w:val="center"/>
          </w:tcPr>
          <w:p w:rsidR="00BE50DA" w:rsidRPr="00AE3251" w:rsidRDefault="00BE50DA" w:rsidP="00060F0B">
            <w:pPr>
              <w:jc w:val="center"/>
              <w:rPr>
                <w:rFonts w:ascii="Calibri" w:hAnsi="Calibri"/>
                <w:color w:val="000000"/>
                <w:sz w:val="18"/>
              </w:rPr>
            </w:pPr>
          </w:p>
        </w:tc>
        <w:tc>
          <w:tcPr>
            <w:tcW w:w="1247" w:type="dxa"/>
            <w:vAlign w:val="center"/>
          </w:tcPr>
          <w:p w:rsidR="00BE50DA" w:rsidRPr="00AE3251" w:rsidRDefault="00BE50DA" w:rsidP="00060F0B">
            <w:pPr>
              <w:jc w:val="center"/>
              <w:rPr>
                <w:rFonts w:ascii="Calibri" w:hAnsi="Calibri"/>
                <w:color w:val="000000"/>
                <w:sz w:val="18"/>
              </w:rPr>
            </w:pPr>
            <w:r w:rsidRPr="00AE3251">
              <w:rPr>
                <w:rFonts w:ascii="Calibri" w:hAnsi="Calibri"/>
                <w:color w:val="000000"/>
                <w:sz w:val="18"/>
              </w:rPr>
              <w:t>-0.8%</w:t>
            </w:r>
          </w:p>
        </w:tc>
      </w:tr>
      <w:tr w:rsidR="00BE50DA" w:rsidRPr="00AE3251" w:rsidTr="00060F0B">
        <w:trPr>
          <w:gridAfter w:val="1"/>
          <w:wAfter w:w="30" w:type="dxa"/>
          <w:trHeight w:val="454"/>
          <w:jc w:val="center"/>
        </w:trPr>
        <w:tc>
          <w:tcPr>
            <w:tcW w:w="2268" w:type="dxa"/>
            <w:tcBorders>
              <w:bottom w:val="single" w:sz="4" w:space="0" w:color="auto"/>
            </w:tcBorders>
            <w:vAlign w:val="center"/>
          </w:tcPr>
          <w:p w:rsidR="00BE50DA" w:rsidRPr="00AE3251" w:rsidRDefault="00BE50DA" w:rsidP="00060F0B">
            <w:pPr>
              <w:jc w:val="center"/>
              <w:rPr>
                <w:sz w:val="18"/>
                <w:szCs w:val="20"/>
              </w:rPr>
            </w:pPr>
            <w:r w:rsidRPr="00AE3251">
              <w:rPr>
                <w:sz w:val="18"/>
                <w:szCs w:val="20"/>
              </w:rPr>
              <w:t>Pure bond fund</w:t>
            </w:r>
          </w:p>
        </w:tc>
        <w:tc>
          <w:tcPr>
            <w:tcW w:w="1247" w:type="dxa"/>
            <w:tcBorders>
              <w:bottom w:val="single" w:sz="4" w:space="0" w:color="auto"/>
            </w:tcBorders>
            <w:vAlign w:val="center"/>
          </w:tcPr>
          <w:p w:rsidR="00BE50DA" w:rsidRPr="00AE3251" w:rsidRDefault="00BE50DA" w:rsidP="00060F0B">
            <w:pPr>
              <w:jc w:val="center"/>
              <w:rPr>
                <w:rFonts w:ascii="Calibri" w:hAnsi="Calibri"/>
                <w:color w:val="000000"/>
                <w:sz w:val="18"/>
              </w:rPr>
            </w:pPr>
            <w:r w:rsidRPr="00AE3251">
              <w:rPr>
                <w:rFonts w:ascii="Calibri" w:hAnsi="Calibri"/>
                <w:color w:val="000000"/>
                <w:sz w:val="18"/>
              </w:rPr>
              <w:t>0.4%</w:t>
            </w:r>
          </w:p>
        </w:tc>
        <w:tc>
          <w:tcPr>
            <w:tcW w:w="236" w:type="dxa"/>
            <w:tcBorders>
              <w:bottom w:val="single" w:sz="4" w:space="0" w:color="auto"/>
            </w:tcBorders>
            <w:vAlign w:val="center"/>
          </w:tcPr>
          <w:p w:rsidR="00BE50DA" w:rsidRPr="00AE3251" w:rsidRDefault="00BE50DA" w:rsidP="00060F0B">
            <w:pPr>
              <w:jc w:val="center"/>
              <w:rPr>
                <w:rFonts w:ascii="Calibri" w:hAnsi="Calibri"/>
                <w:color w:val="000000"/>
                <w:sz w:val="18"/>
              </w:rPr>
            </w:pPr>
          </w:p>
        </w:tc>
        <w:tc>
          <w:tcPr>
            <w:tcW w:w="1247" w:type="dxa"/>
            <w:tcBorders>
              <w:bottom w:val="single" w:sz="4" w:space="0" w:color="auto"/>
            </w:tcBorders>
            <w:vAlign w:val="center"/>
          </w:tcPr>
          <w:p w:rsidR="00BE50DA" w:rsidRPr="00AE3251" w:rsidRDefault="00BE50DA" w:rsidP="00060F0B">
            <w:pPr>
              <w:jc w:val="center"/>
              <w:rPr>
                <w:rFonts w:ascii="Calibri" w:hAnsi="Calibri"/>
                <w:color w:val="000000"/>
                <w:sz w:val="18"/>
              </w:rPr>
            </w:pPr>
            <w:r w:rsidRPr="00AE3251">
              <w:rPr>
                <w:rFonts w:ascii="Calibri" w:hAnsi="Calibri"/>
                <w:color w:val="000000"/>
                <w:sz w:val="18"/>
              </w:rPr>
              <w:t>6.0%</w:t>
            </w:r>
          </w:p>
        </w:tc>
        <w:tc>
          <w:tcPr>
            <w:tcW w:w="236" w:type="dxa"/>
            <w:tcBorders>
              <w:bottom w:val="single" w:sz="4" w:space="0" w:color="auto"/>
            </w:tcBorders>
            <w:vAlign w:val="center"/>
          </w:tcPr>
          <w:p w:rsidR="00BE50DA" w:rsidRPr="00AE3251" w:rsidRDefault="00BE50DA" w:rsidP="00060F0B">
            <w:pPr>
              <w:jc w:val="center"/>
              <w:rPr>
                <w:rFonts w:ascii="Calibri" w:hAnsi="Calibri"/>
                <w:color w:val="000000"/>
                <w:sz w:val="18"/>
              </w:rPr>
            </w:pPr>
          </w:p>
        </w:tc>
        <w:tc>
          <w:tcPr>
            <w:tcW w:w="1247" w:type="dxa"/>
            <w:tcBorders>
              <w:bottom w:val="single" w:sz="4" w:space="0" w:color="auto"/>
            </w:tcBorders>
            <w:vAlign w:val="center"/>
          </w:tcPr>
          <w:p w:rsidR="00BE50DA" w:rsidRPr="00AE3251" w:rsidRDefault="00BE50DA" w:rsidP="00060F0B">
            <w:pPr>
              <w:jc w:val="center"/>
              <w:rPr>
                <w:rFonts w:ascii="Calibri" w:hAnsi="Calibri"/>
                <w:color w:val="000000"/>
                <w:sz w:val="18"/>
              </w:rPr>
            </w:pPr>
            <w:r w:rsidRPr="00AE3251">
              <w:rPr>
                <w:rFonts w:ascii="Calibri" w:hAnsi="Calibri"/>
                <w:color w:val="000000"/>
                <w:sz w:val="18"/>
              </w:rPr>
              <w:t>24.6%</w:t>
            </w:r>
          </w:p>
        </w:tc>
        <w:tc>
          <w:tcPr>
            <w:tcW w:w="236" w:type="dxa"/>
            <w:tcBorders>
              <w:bottom w:val="single" w:sz="4" w:space="0" w:color="auto"/>
            </w:tcBorders>
            <w:vAlign w:val="center"/>
          </w:tcPr>
          <w:p w:rsidR="00BE50DA" w:rsidRPr="00AE3251" w:rsidRDefault="00BE50DA" w:rsidP="00060F0B">
            <w:pPr>
              <w:jc w:val="center"/>
              <w:rPr>
                <w:rFonts w:ascii="Calibri" w:hAnsi="Calibri"/>
                <w:color w:val="000000"/>
                <w:sz w:val="18"/>
              </w:rPr>
            </w:pPr>
          </w:p>
        </w:tc>
        <w:tc>
          <w:tcPr>
            <w:tcW w:w="1247" w:type="dxa"/>
            <w:tcBorders>
              <w:bottom w:val="single" w:sz="4" w:space="0" w:color="auto"/>
            </w:tcBorders>
            <w:vAlign w:val="center"/>
          </w:tcPr>
          <w:p w:rsidR="00BE50DA" w:rsidRPr="00AE3251" w:rsidRDefault="00BE50DA" w:rsidP="00060F0B">
            <w:pPr>
              <w:jc w:val="center"/>
              <w:rPr>
                <w:rFonts w:ascii="Calibri" w:hAnsi="Calibri"/>
                <w:color w:val="000000"/>
                <w:sz w:val="18"/>
              </w:rPr>
            </w:pPr>
            <w:r w:rsidRPr="00AE3251">
              <w:rPr>
                <w:rFonts w:ascii="Calibri" w:hAnsi="Calibri"/>
                <w:color w:val="000000"/>
                <w:sz w:val="18"/>
              </w:rPr>
              <w:t>25.1%</w:t>
            </w:r>
          </w:p>
        </w:tc>
      </w:tr>
    </w:tbl>
    <w:p w:rsidR="00BE50DA" w:rsidRDefault="00BE50DA" w:rsidP="00BE50DA">
      <w:pPr>
        <w:rPr>
          <w:rFonts w:cs="TTdcr10"/>
          <w:sz w:val="20"/>
          <w:szCs w:val="20"/>
        </w:rPr>
      </w:pPr>
    </w:p>
    <w:p w:rsidR="00BE50DA" w:rsidRDefault="00BE50DA" w:rsidP="00BE50DA">
      <w:pPr>
        <w:rPr>
          <w:rFonts w:cs="TTdcr10"/>
          <w:sz w:val="20"/>
          <w:szCs w:val="20"/>
        </w:rPr>
      </w:pPr>
    </w:p>
    <w:p w:rsidR="00BE50DA" w:rsidRDefault="00BE50DA" w:rsidP="00BE50DA">
      <w:pPr>
        <w:rPr>
          <w:rFonts w:cs="TTdcr10"/>
          <w:sz w:val="20"/>
          <w:szCs w:val="20"/>
        </w:rPr>
      </w:pPr>
    </w:p>
    <w:p w:rsidR="00BE50DA" w:rsidRDefault="00BE50DA" w:rsidP="00BE50DA">
      <w:pPr>
        <w:rPr>
          <w:rFonts w:cs="TTdcr10"/>
          <w:sz w:val="20"/>
          <w:szCs w:val="20"/>
        </w:rPr>
      </w:pPr>
    </w:p>
    <w:p w:rsidR="00BE50DA" w:rsidRDefault="00BE50DA" w:rsidP="00A10954">
      <w:pPr>
        <w:sectPr w:rsidR="00BE50DA" w:rsidSect="00BE50DA">
          <w:pgSz w:w="11906" w:h="16838"/>
          <w:pgMar w:top="1440" w:right="1440" w:bottom="1440" w:left="1440" w:header="708" w:footer="708" w:gutter="0"/>
          <w:cols w:space="708"/>
          <w:docGrid w:linePitch="360"/>
        </w:sectPr>
      </w:pPr>
    </w:p>
    <w:tbl>
      <w:tblPr>
        <w:tblStyle w:val="Grigliatabella"/>
        <w:tblW w:w="844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237"/>
        <w:gridCol w:w="963"/>
        <w:gridCol w:w="236"/>
        <w:gridCol w:w="963"/>
        <w:gridCol w:w="236"/>
        <w:gridCol w:w="967"/>
        <w:gridCol w:w="236"/>
        <w:gridCol w:w="963"/>
        <w:gridCol w:w="236"/>
        <w:gridCol w:w="963"/>
        <w:gridCol w:w="236"/>
        <w:gridCol w:w="958"/>
        <w:gridCol w:w="6"/>
      </w:tblGrid>
      <w:tr w:rsidR="00AE792B" w:rsidRPr="00724F7E" w:rsidTr="0096315A">
        <w:trPr>
          <w:trHeight w:val="20"/>
          <w:jc w:val="center"/>
        </w:trPr>
        <w:tc>
          <w:tcPr>
            <w:tcW w:w="8447" w:type="dxa"/>
            <w:gridSpan w:val="14"/>
            <w:vAlign w:val="center"/>
          </w:tcPr>
          <w:p w:rsidR="00AE792B" w:rsidRPr="00724F7E" w:rsidRDefault="00AE792B" w:rsidP="00083E49">
            <w:pPr>
              <w:jc w:val="center"/>
              <w:rPr>
                <w:b/>
                <w:sz w:val="20"/>
                <w:szCs w:val="20"/>
              </w:rPr>
            </w:pPr>
            <w:r>
              <w:rPr>
                <w:b/>
                <w:sz w:val="20"/>
                <w:szCs w:val="20"/>
              </w:rPr>
              <w:lastRenderedPageBreak/>
              <w:t xml:space="preserve">Table </w:t>
            </w:r>
            <w:r w:rsidR="009C7E80">
              <w:rPr>
                <w:b/>
                <w:sz w:val="20"/>
                <w:szCs w:val="20"/>
              </w:rPr>
              <w:t>IX</w:t>
            </w:r>
          </w:p>
          <w:p w:rsidR="00AE792B" w:rsidRPr="00724F7E" w:rsidRDefault="00B76B40" w:rsidP="00B76B40">
            <w:pPr>
              <w:jc w:val="center"/>
              <w:rPr>
                <w:sz w:val="20"/>
                <w:szCs w:val="20"/>
              </w:rPr>
            </w:pPr>
            <w:r>
              <w:rPr>
                <w:b/>
                <w:szCs w:val="20"/>
              </w:rPr>
              <w:t xml:space="preserve">Correlation of Excess Sovereign Bond Returns and </w:t>
            </w:r>
            <w:r w:rsidR="00592F88">
              <w:rPr>
                <w:b/>
                <w:szCs w:val="20"/>
              </w:rPr>
              <w:t>the Term Factor</w:t>
            </w:r>
          </w:p>
        </w:tc>
      </w:tr>
      <w:tr w:rsidR="00AE792B" w:rsidRPr="00724F7E" w:rsidTr="0096315A">
        <w:trPr>
          <w:trHeight w:val="20"/>
          <w:jc w:val="center"/>
        </w:trPr>
        <w:tc>
          <w:tcPr>
            <w:tcW w:w="8447" w:type="dxa"/>
            <w:gridSpan w:val="14"/>
            <w:tcBorders>
              <w:bottom w:val="single" w:sz="4" w:space="0" w:color="auto"/>
            </w:tcBorders>
            <w:vAlign w:val="center"/>
          </w:tcPr>
          <w:p w:rsidR="00AE792B" w:rsidRPr="00724F7E" w:rsidRDefault="00AE792B" w:rsidP="00B76B40">
            <w:pPr>
              <w:autoSpaceDE w:val="0"/>
              <w:autoSpaceDN w:val="0"/>
              <w:adjustRightInd w:val="0"/>
              <w:jc w:val="both"/>
              <w:rPr>
                <w:sz w:val="20"/>
                <w:szCs w:val="20"/>
              </w:rPr>
            </w:pPr>
            <w:r w:rsidRPr="00724F7E">
              <w:rPr>
                <w:sz w:val="20"/>
                <w:szCs w:val="20"/>
              </w:rPr>
              <w:t xml:space="preserve">This table reports </w:t>
            </w:r>
            <w:r>
              <w:rPr>
                <w:sz w:val="20"/>
                <w:szCs w:val="20"/>
              </w:rPr>
              <w:t xml:space="preserve">the correlation </w:t>
            </w:r>
            <w:r w:rsidR="00592F88">
              <w:rPr>
                <w:sz w:val="20"/>
                <w:szCs w:val="20"/>
              </w:rPr>
              <w:t xml:space="preserve">of the term factor, and its long term component, </w:t>
            </w:r>
            <w:r>
              <w:rPr>
                <w:sz w:val="20"/>
                <w:szCs w:val="20"/>
              </w:rPr>
              <w:t xml:space="preserve">with country specific </w:t>
            </w:r>
            <w:r w:rsidR="00592F88">
              <w:rPr>
                <w:sz w:val="20"/>
                <w:szCs w:val="20"/>
              </w:rPr>
              <w:t xml:space="preserve">excess </w:t>
            </w:r>
            <w:r>
              <w:rPr>
                <w:sz w:val="20"/>
                <w:szCs w:val="20"/>
              </w:rPr>
              <w:t xml:space="preserve">sovereign bond returns. </w:t>
            </w:r>
            <w:r w:rsidR="00592F88">
              <w:rPr>
                <w:sz w:val="20"/>
                <w:szCs w:val="20"/>
              </w:rPr>
              <w:t xml:space="preserve">The term factor is the difference between </w:t>
            </w:r>
            <w:r w:rsidR="00B76B40">
              <w:rPr>
                <w:sz w:val="20"/>
                <w:szCs w:val="20"/>
              </w:rPr>
              <w:t xml:space="preserve">the return of </w:t>
            </w:r>
            <w:r w:rsidR="00592F88">
              <w:rPr>
                <w:sz w:val="20"/>
                <w:szCs w:val="20"/>
              </w:rPr>
              <w:t xml:space="preserve">a sovereign bond portfolio </w:t>
            </w:r>
            <w:r w:rsidR="00B76B40">
              <w:rPr>
                <w:sz w:val="20"/>
                <w:szCs w:val="20"/>
              </w:rPr>
              <w:t xml:space="preserve">with a 10 year average maturity and the 3 month ECB rate. The long term component is the return of the sovereign bond portfolio with a 10 year average maturity. </w:t>
            </w:r>
            <w:r w:rsidRPr="00A11843">
              <w:rPr>
                <w:rFonts w:ascii="Calibri" w:hAnsi="Calibri"/>
                <w:color w:val="000000"/>
                <w:sz w:val="20"/>
                <w:szCs w:val="20"/>
              </w:rPr>
              <w:t xml:space="preserve">Short, medium and long </w:t>
            </w:r>
            <w:r w:rsidR="00B76B40">
              <w:rPr>
                <w:rFonts w:ascii="Calibri" w:hAnsi="Calibri"/>
                <w:color w:val="000000"/>
                <w:sz w:val="20"/>
                <w:szCs w:val="20"/>
              </w:rPr>
              <w:t xml:space="preserve">denote </w:t>
            </w:r>
            <w:r w:rsidRPr="00A11843">
              <w:rPr>
                <w:rFonts w:ascii="Calibri" w:hAnsi="Calibri"/>
                <w:color w:val="000000"/>
                <w:sz w:val="20"/>
                <w:szCs w:val="20"/>
              </w:rPr>
              <w:t>bonds with a remaining</w:t>
            </w:r>
            <w:r>
              <w:rPr>
                <w:sz w:val="20"/>
                <w:szCs w:val="20"/>
              </w:rPr>
              <w:t xml:space="preserve"> time-to-maturity of less than 3 years, between 3 and 7 years, and above 7 years, respectively.</w:t>
            </w:r>
          </w:p>
        </w:tc>
      </w:tr>
      <w:tr w:rsidR="00BC7B30" w:rsidRPr="00724F7E" w:rsidTr="0096315A">
        <w:trPr>
          <w:gridAfter w:val="1"/>
          <w:wAfter w:w="6" w:type="dxa"/>
          <w:trHeight w:val="624"/>
          <w:jc w:val="center"/>
        </w:trPr>
        <w:tc>
          <w:tcPr>
            <w:tcW w:w="1247" w:type="dxa"/>
            <w:vAlign w:val="center"/>
          </w:tcPr>
          <w:p w:rsidR="00BC7B30" w:rsidRPr="00724F7E" w:rsidRDefault="00BC7B30" w:rsidP="00083E49">
            <w:pPr>
              <w:jc w:val="center"/>
              <w:rPr>
                <w:sz w:val="20"/>
                <w:szCs w:val="20"/>
              </w:rPr>
            </w:pPr>
          </w:p>
        </w:tc>
        <w:tc>
          <w:tcPr>
            <w:tcW w:w="237" w:type="dxa"/>
            <w:vAlign w:val="center"/>
          </w:tcPr>
          <w:p w:rsidR="00BC7B30" w:rsidRPr="00724F7E" w:rsidRDefault="00BC7B30" w:rsidP="00083E49">
            <w:pPr>
              <w:jc w:val="center"/>
              <w:rPr>
                <w:sz w:val="20"/>
                <w:szCs w:val="20"/>
              </w:rPr>
            </w:pPr>
          </w:p>
        </w:tc>
        <w:tc>
          <w:tcPr>
            <w:tcW w:w="3365" w:type="dxa"/>
            <w:gridSpan w:val="5"/>
            <w:vAlign w:val="center"/>
          </w:tcPr>
          <w:p w:rsidR="00BC7B30" w:rsidRPr="00724F7E" w:rsidRDefault="00B76B40" w:rsidP="00083E49">
            <w:pPr>
              <w:jc w:val="center"/>
              <w:rPr>
                <w:sz w:val="20"/>
                <w:szCs w:val="20"/>
              </w:rPr>
            </w:pPr>
            <w:r>
              <w:rPr>
                <w:sz w:val="20"/>
                <w:szCs w:val="20"/>
              </w:rPr>
              <w:t>Term Factor</w:t>
            </w:r>
          </w:p>
        </w:tc>
        <w:tc>
          <w:tcPr>
            <w:tcW w:w="236" w:type="dxa"/>
            <w:vAlign w:val="center"/>
          </w:tcPr>
          <w:p w:rsidR="00BC7B30" w:rsidRPr="00724F7E" w:rsidRDefault="00BC7B30" w:rsidP="00083E49">
            <w:pPr>
              <w:jc w:val="center"/>
              <w:rPr>
                <w:sz w:val="20"/>
                <w:szCs w:val="20"/>
              </w:rPr>
            </w:pPr>
          </w:p>
        </w:tc>
        <w:tc>
          <w:tcPr>
            <w:tcW w:w="3356" w:type="dxa"/>
            <w:gridSpan w:val="5"/>
            <w:vAlign w:val="center"/>
          </w:tcPr>
          <w:p w:rsidR="00B76B40" w:rsidRDefault="00B76B40" w:rsidP="00083E49">
            <w:pPr>
              <w:jc w:val="center"/>
              <w:rPr>
                <w:sz w:val="20"/>
                <w:szCs w:val="20"/>
              </w:rPr>
            </w:pPr>
            <w:r>
              <w:rPr>
                <w:sz w:val="20"/>
                <w:szCs w:val="20"/>
              </w:rPr>
              <w:t xml:space="preserve">Term Factor’s </w:t>
            </w:r>
          </w:p>
          <w:p w:rsidR="00BC7B30" w:rsidRPr="00724F7E" w:rsidRDefault="00B76B40" w:rsidP="00083E49">
            <w:pPr>
              <w:jc w:val="center"/>
              <w:rPr>
                <w:sz w:val="20"/>
                <w:szCs w:val="20"/>
              </w:rPr>
            </w:pPr>
            <w:r w:rsidRPr="0096315A">
              <w:rPr>
                <w:sz w:val="20"/>
                <w:szCs w:val="20"/>
              </w:rPr>
              <w:t>Long Term Component</w:t>
            </w:r>
          </w:p>
        </w:tc>
      </w:tr>
      <w:tr w:rsidR="00BC7B30" w:rsidRPr="00724F7E" w:rsidTr="0096315A">
        <w:trPr>
          <w:trHeight w:val="20"/>
          <w:jc w:val="center"/>
        </w:trPr>
        <w:tc>
          <w:tcPr>
            <w:tcW w:w="1247" w:type="dxa"/>
            <w:vAlign w:val="center"/>
          </w:tcPr>
          <w:p w:rsidR="00BC7B30" w:rsidRPr="00724F7E" w:rsidRDefault="00BC7B30" w:rsidP="00083E49">
            <w:pPr>
              <w:jc w:val="center"/>
              <w:rPr>
                <w:sz w:val="20"/>
                <w:szCs w:val="20"/>
              </w:rPr>
            </w:pPr>
          </w:p>
        </w:tc>
        <w:tc>
          <w:tcPr>
            <w:tcW w:w="237" w:type="dxa"/>
            <w:vAlign w:val="center"/>
          </w:tcPr>
          <w:p w:rsidR="00BC7B30" w:rsidRPr="00724F7E" w:rsidRDefault="00BC7B30" w:rsidP="00083E49">
            <w:pPr>
              <w:jc w:val="center"/>
              <w:rPr>
                <w:sz w:val="20"/>
                <w:szCs w:val="20"/>
              </w:rPr>
            </w:pPr>
          </w:p>
        </w:tc>
        <w:tc>
          <w:tcPr>
            <w:tcW w:w="963" w:type="dxa"/>
            <w:tcBorders>
              <w:bottom w:val="single" w:sz="4" w:space="0" w:color="auto"/>
            </w:tcBorders>
            <w:vAlign w:val="center"/>
          </w:tcPr>
          <w:p w:rsidR="00B76B40" w:rsidRDefault="00BC7B30" w:rsidP="00BC7B30">
            <w:pPr>
              <w:jc w:val="center"/>
              <w:rPr>
                <w:sz w:val="20"/>
                <w:szCs w:val="20"/>
              </w:rPr>
            </w:pPr>
            <w:r>
              <w:rPr>
                <w:sz w:val="20"/>
                <w:szCs w:val="20"/>
              </w:rPr>
              <w:t>Short</w:t>
            </w:r>
          </w:p>
          <w:p w:rsidR="00BC7B30" w:rsidRPr="00724F7E" w:rsidRDefault="00B76B40" w:rsidP="00BC7B30">
            <w:pPr>
              <w:jc w:val="center"/>
              <w:rPr>
                <w:sz w:val="20"/>
                <w:szCs w:val="20"/>
              </w:rPr>
            </w:pPr>
            <w:r>
              <w:rPr>
                <w:sz w:val="20"/>
                <w:szCs w:val="20"/>
              </w:rPr>
              <w:t>Maturity</w:t>
            </w:r>
            <w:r w:rsidR="00BC7B30">
              <w:rPr>
                <w:sz w:val="20"/>
                <w:szCs w:val="20"/>
              </w:rPr>
              <w:t xml:space="preserve"> </w:t>
            </w:r>
          </w:p>
        </w:tc>
        <w:tc>
          <w:tcPr>
            <w:tcW w:w="236" w:type="dxa"/>
            <w:vAlign w:val="center"/>
          </w:tcPr>
          <w:p w:rsidR="00BC7B30" w:rsidRPr="00724F7E" w:rsidRDefault="00BC7B30" w:rsidP="00083E49">
            <w:pPr>
              <w:jc w:val="center"/>
              <w:rPr>
                <w:sz w:val="20"/>
                <w:szCs w:val="20"/>
              </w:rPr>
            </w:pPr>
          </w:p>
        </w:tc>
        <w:tc>
          <w:tcPr>
            <w:tcW w:w="963" w:type="dxa"/>
            <w:tcBorders>
              <w:bottom w:val="single" w:sz="4" w:space="0" w:color="auto"/>
            </w:tcBorders>
            <w:vAlign w:val="center"/>
          </w:tcPr>
          <w:p w:rsidR="00BC7B30" w:rsidRPr="00724F7E" w:rsidRDefault="00BC7B30" w:rsidP="00BC7B30">
            <w:pPr>
              <w:jc w:val="center"/>
              <w:rPr>
                <w:sz w:val="20"/>
                <w:szCs w:val="20"/>
              </w:rPr>
            </w:pPr>
            <w:r>
              <w:rPr>
                <w:sz w:val="20"/>
                <w:szCs w:val="20"/>
              </w:rPr>
              <w:t xml:space="preserve">Medium </w:t>
            </w:r>
            <w:r w:rsidR="00B76B40">
              <w:rPr>
                <w:sz w:val="20"/>
                <w:szCs w:val="20"/>
              </w:rPr>
              <w:t>Maturity</w:t>
            </w:r>
          </w:p>
        </w:tc>
        <w:tc>
          <w:tcPr>
            <w:tcW w:w="236" w:type="dxa"/>
            <w:vAlign w:val="center"/>
          </w:tcPr>
          <w:p w:rsidR="00BC7B30" w:rsidRPr="00724F7E" w:rsidRDefault="00BC7B30" w:rsidP="00083E49">
            <w:pPr>
              <w:jc w:val="center"/>
              <w:rPr>
                <w:sz w:val="20"/>
                <w:szCs w:val="20"/>
              </w:rPr>
            </w:pPr>
          </w:p>
        </w:tc>
        <w:tc>
          <w:tcPr>
            <w:tcW w:w="967" w:type="dxa"/>
            <w:tcBorders>
              <w:bottom w:val="single" w:sz="4" w:space="0" w:color="auto"/>
            </w:tcBorders>
            <w:vAlign w:val="center"/>
          </w:tcPr>
          <w:p w:rsidR="00BC7B30" w:rsidRPr="00724F7E" w:rsidRDefault="00BC7B30" w:rsidP="00BC7B30">
            <w:pPr>
              <w:jc w:val="center"/>
              <w:rPr>
                <w:sz w:val="20"/>
                <w:szCs w:val="20"/>
              </w:rPr>
            </w:pPr>
            <w:r>
              <w:rPr>
                <w:sz w:val="20"/>
                <w:szCs w:val="20"/>
              </w:rPr>
              <w:t xml:space="preserve">Long </w:t>
            </w:r>
            <w:r w:rsidR="00B76B40">
              <w:rPr>
                <w:sz w:val="20"/>
                <w:szCs w:val="20"/>
              </w:rPr>
              <w:t>Maturity</w:t>
            </w:r>
          </w:p>
        </w:tc>
        <w:tc>
          <w:tcPr>
            <w:tcW w:w="236" w:type="dxa"/>
            <w:vAlign w:val="center"/>
          </w:tcPr>
          <w:p w:rsidR="00BC7B30" w:rsidRPr="00724F7E" w:rsidRDefault="00BC7B30" w:rsidP="00083E49">
            <w:pPr>
              <w:jc w:val="center"/>
              <w:rPr>
                <w:sz w:val="20"/>
                <w:szCs w:val="20"/>
              </w:rPr>
            </w:pPr>
          </w:p>
        </w:tc>
        <w:tc>
          <w:tcPr>
            <w:tcW w:w="963" w:type="dxa"/>
            <w:tcBorders>
              <w:bottom w:val="single" w:sz="4" w:space="0" w:color="auto"/>
            </w:tcBorders>
            <w:vAlign w:val="center"/>
          </w:tcPr>
          <w:p w:rsidR="00BC7B30" w:rsidRPr="00724F7E" w:rsidRDefault="00BC7B30" w:rsidP="00BC7B30">
            <w:pPr>
              <w:jc w:val="center"/>
              <w:rPr>
                <w:sz w:val="20"/>
                <w:szCs w:val="20"/>
              </w:rPr>
            </w:pPr>
            <w:r>
              <w:rPr>
                <w:sz w:val="20"/>
                <w:szCs w:val="20"/>
              </w:rPr>
              <w:t xml:space="preserve">Short </w:t>
            </w:r>
            <w:r w:rsidR="00B76B40">
              <w:rPr>
                <w:sz w:val="20"/>
                <w:szCs w:val="20"/>
              </w:rPr>
              <w:t>Maturity</w:t>
            </w:r>
          </w:p>
        </w:tc>
        <w:tc>
          <w:tcPr>
            <w:tcW w:w="236" w:type="dxa"/>
            <w:vAlign w:val="center"/>
          </w:tcPr>
          <w:p w:rsidR="00BC7B30" w:rsidRPr="00724F7E" w:rsidRDefault="00BC7B30" w:rsidP="00083E49">
            <w:pPr>
              <w:jc w:val="center"/>
              <w:rPr>
                <w:sz w:val="20"/>
                <w:szCs w:val="20"/>
              </w:rPr>
            </w:pPr>
          </w:p>
        </w:tc>
        <w:tc>
          <w:tcPr>
            <w:tcW w:w="963" w:type="dxa"/>
            <w:tcBorders>
              <w:bottom w:val="single" w:sz="4" w:space="0" w:color="auto"/>
            </w:tcBorders>
            <w:vAlign w:val="center"/>
          </w:tcPr>
          <w:p w:rsidR="00BC7B30" w:rsidRPr="00724F7E" w:rsidRDefault="00BC7B30" w:rsidP="00BC7B30">
            <w:pPr>
              <w:jc w:val="center"/>
              <w:rPr>
                <w:sz w:val="20"/>
                <w:szCs w:val="20"/>
              </w:rPr>
            </w:pPr>
            <w:r>
              <w:rPr>
                <w:sz w:val="20"/>
                <w:szCs w:val="20"/>
              </w:rPr>
              <w:t xml:space="preserve">Medium </w:t>
            </w:r>
            <w:r w:rsidR="00B76B40">
              <w:rPr>
                <w:sz w:val="20"/>
                <w:szCs w:val="20"/>
              </w:rPr>
              <w:t>Maturity</w:t>
            </w:r>
          </w:p>
        </w:tc>
        <w:tc>
          <w:tcPr>
            <w:tcW w:w="236" w:type="dxa"/>
          </w:tcPr>
          <w:p w:rsidR="00BC7B30" w:rsidRDefault="00BC7B30" w:rsidP="00083E49">
            <w:pPr>
              <w:jc w:val="center"/>
              <w:rPr>
                <w:sz w:val="20"/>
                <w:szCs w:val="20"/>
              </w:rPr>
            </w:pPr>
          </w:p>
        </w:tc>
        <w:tc>
          <w:tcPr>
            <w:tcW w:w="964" w:type="dxa"/>
            <w:gridSpan w:val="2"/>
            <w:tcBorders>
              <w:bottom w:val="single" w:sz="4" w:space="0" w:color="auto"/>
            </w:tcBorders>
          </w:tcPr>
          <w:p w:rsidR="00BC7B30" w:rsidRDefault="00BC7B30" w:rsidP="00BC7B30">
            <w:pPr>
              <w:jc w:val="center"/>
              <w:rPr>
                <w:sz w:val="20"/>
                <w:szCs w:val="20"/>
              </w:rPr>
            </w:pPr>
            <w:r>
              <w:rPr>
                <w:sz w:val="20"/>
                <w:szCs w:val="20"/>
              </w:rPr>
              <w:t xml:space="preserve">Long </w:t>
            </w:r>
            <w:r w:rsidR="00B76B40">
              <w:rPr>
                <w:sz w:val="20"/>
                <w:szCs w:val="20"/>
              </w:rPr>
              <w:t>Maturity</w:t>
            </w:r>
          </w:p>
        </w:tc>
      </w:tr>
      <w:tr w:rsidR="006528C5" w:rsidRPr="00724F7E" w:rsidTr="007404B1">
        <w:trPr>
          <w:trHeight w:val="254"/>
          <w:jc w:val="center"/>
        </w:trPr>
        <w:tc>
          <w:tcPr>
            <w:tcW w:w="1247" w:type="dxa"/>
            <w:vAlign w:val="center"/>
          </w:tcPr>
          <w:p w:rsidR="006528C5" w:rsidRDefault="006528C5" w:rsidP="00083E49">
            <w:pPr>
              <w:rPr>
                <w:rFonts w:ascii="Calibri" w:hAnsi="Calibri"/>
                <w:color w:val="000000"/>
                <w:sz w:val="20"/>
                <w:szCs w:val="20"/>
              </w:rPr>
            </w:pPr>
            <w:r>
              <w:rPr>
                <w:rFonts w:ascii="Calibri" w:hAnsi="Calibri"/>
                <w:color w:val="000000"/>
                <w:sz w:val="20"/>
                <w:szCs w:val="20"/>
              </w:rPr>
              <w:t>Germany</w:t>
            </w:r>
          </w:p>
        </w:tc>
        <w:tc>
          <w:tcPr>
            <w:tcW w:w="237" w:type="dxa"/>
          </w:tcPr>
          <w:p w:rsidR="006528C5" w:rsidRPr="00BC7B30" w:rsidRDefault="006528C5" w:rsidP="00083E49">
            <w:pPr>
              <w:jc w:val="center"/>
              <w:rPr>
                <w:sz w:val="20"/>
                <w:szCs w:val="20"/>
              </w:rPr>
            </w:pPr>
          </w:p>
        </w:tc>
        <w:tc>
          <w:tcPr>
            <w:tcW w:w="963" w:type="dxa"/>
            <w:tcBorders>
              <w:top w:val="single" w:sz="4" w:space="0" w:color="auto"/>
            </w:tcBorders>
            <w:vAlign w:val="center"/>
          </w:tcPr>
          <w:p w:rsidR="006528C5" w:rsidRDefault="006528C5">
            <w:pPr>
              <w:jc w:val="right"/>
              <w:rPr>
                <w:rFonts w:ascii="Calibri" w:hAnsi="Calibri"/>
                <w:color w:val="000000"/>
              </w:rPr>
            </w:pPr>
            <w:r>
              <w:rPr>
                <w:rFonts w:ascii="Calibri" w:hAnsi="Calibri"/>
                <w:color w:val="000000"/>
              </w:rPr>
              <w:t>57.44%</w:t>
            </w:r>
          </w:p>
        </w:tc>
        <w:tc>
          <w:tcPr>
            <w:tcW w:w="236" w:type="dxa"/>
            <w:vAlign w:val="center"/>
          </w:tcPr>
          <w:p w:rsidR="006528C5" w:rsidRDefault="006528C5">
            <w:pPr>
              <w:rPr>
                <w:rFonts w:ascii="Calibri" w:hAnsi="Calibri"/>
                <w:color w:val="000000"/>
              </w:rPr>
            </w:pPr>
          </w:p>
        </w:tc>
        <w:tc>
          <w:tcPr>
            <w:tcW w:w="963" w:type="dxa"/>
            <w:tcBorders>
              <w:top w:val="single" w:sz="4" w:space="0" w:color="auto"/>
            </w:tcBorders>
            <w:vAlign w:val="center"/>
          </w:tcPr>
          <w:p w:rsidR="006528C5" w:rsidRDefault="006528C5">
            <w:pPr>
              <w:jc w:val="right"/>
              <w:rPr>
                <w:rFonts w:ascii="Calibri" w:hAnsi="Calibri"/>
                <w:color w:val="000000"/>
              </w:rPr>
            </w:pPr>
            <w:r>
              <w:rPr>
                <w:rFonts w:ascii="Calibri" w:hAnsi="Calibri"/>
                <w:color w:val="000000"/>
              </w:rPr>
              <w:t>89.19%</w:t>
            </w:r>
          </w:p>
        </w:tc>
        <w:tc>
          <w:tcPr>
            <w:tcW w:w="236" w:type="dxa"/>
            <w:tcBorders>
              <w:top w:val="single" w:sz="4" w:space="0" w:color="auto"/>
            </w:tcBorders>
            <w:vAlign w:val="center"/>
          </w:tcPr>
          <w:p w:rsidR="006528C5" w:rsidRDefault="006528C5">
            <w:pPr>
              <w:rPr>
                <w:rFonts w:ascii="Calibri" w:hAnsi="Calibri"/>
                <w:color w:val="000000"/>
              </w:rPr>
            </w:pPr>
            <w:r>
              <w:rPr>
                <w:rFonts w:ascii="Calibri" w:hAnsi="Calibri"/>
                <w:color w:val="000000"/>
              </w:rPr>
              <w:t> </w:t>
            </w:r>
          </w:p>
        </w:tc>
        <w:tc>
          <w:tcPr>
            <w:tcW w:w="967" w:type="dxa"/>
            <w:tcBorders>
              <w:top w:val="single" w:sz="4" w:space="0" w:color="auto"/>
            </w:tcBorders>
            <w:vAlign w:val="center"/>
          </w:tcPr>
          <w:p w:rsidR="006528C5" w:rsidRDefault="006528C5">
            <w:pPr>
              <w:jc w:val="right"/>
              <w:rPr>
                <w:rFonts w:ascii="Calibri" w:hAnsi="Calibri"/>
                <w:color w:val="000000"/>
              </w:rPr>
            </w:pPr>
            <w:r>
              <w:rPr>
                <w:rFonts w:ascii="Calibri" w:hAnsi="Calibri"/>
                <w:color w:val="000000"/>
              </w:rPr>
              <w:t>90.79%</w:t>
            </w:r>
          </w:p>
        </w:tc>
        <w:tc>
          <w:tcPr>
            <w:tcW w:w="236" w:type="dxa"/>
            <w:vAlign w:val="center"/>
          </w:tcPr>
          <w:p w:rsidR="006528C5" w:rsidRPr="00BC7B30" w:rsidRDefault="006528C5" w:rsidP="00083E49">
            <w:pPr>
              <w:rPr>
                <w:rFonts w:ascii="Calibri" w:hAnsi="Calibri"/>
                <w:bCs/>
              </w:rPr>
            </w:pPr>
          </w:p>
        </w:tc>
        <w:tc>
          <w:tcPr>
            <w:tcW w:w="963" w:type="dxa"/>
            <w:tcBorders>
              <w:top w:val="single" w:sz="4" w:space="0" w:color="auto"/>
            </w:tcBorders>
            <w:vAlign w:val="center"/>
          </w:tcPr>
          <w:p w:rsidR="006528C5" w:rsidRDefault="006528C5">
            <w:pPr>
              <w:jc w:val="right"/>
              <w:rPr>
                <w:rFonts w:ascii="Calibri" w:hAnsi="Calibri"/>
                <w:color w:val="000000"/>
              </w:rPr>
            </w:pPr>
            <w:r>
              <w:rPr>
                <w:rFonts w:ascii="Calibri" w:hAnsi="Calibri"/>
                <w:color w:val="000000"/>
              </w:rPr>
              <w:t>57.45%</w:t>
            </w:r>
          </w:p>
        </w:tc>
        <w:tc>
          <w:tcPr>
            <w:tcW w:w="236" w:type="dxa"/>
            <w:vAlign w:val="center"/>
          </w:tcPr>
          <w:p w:rsidR="006528C5" w:rsidRDefault="006528C5">
            <w:pPr>
              <w:rPr>
                <w:rFonts w:ascii="Calibri" w:hAnsi="Calibri"/>
                <w:color w:val="000000"/>
              </w:rPr>
            </w:pPr>
          </w:p>
        </w:tc>
        <w:tc>
          <w:tcPr>
            <w:tcW w:w="963" w:type="dxa"/>
            <w:vAlign w:val="center"/>
          </w:tcPr>
          <w:p w:rsidR="006528C5" w:rsidRDefault="006528C5">
            <w:pPr>
              <w:jc w:val="right"/>
              <w:rPr>
                <w:rFonts w:ascii="Calibri" w:hAnsi="Calibri"/>
                <w:color w:val="000000"/>
              </w:rPr>
            </w:pPr>
            <w:r>
              <w:rPr>
                <w:rFonts w:ascii="Calibri" w:hAnsi="Calibri"/>
                <w:color w:val="000000"/>
              </w:rPr>
              <w:t>89.19%</w:t>
            </w:r>
          </w:p>
        </w:tc>
        <w:tc>
          <w:tcPr>
            <w:tcW w:w="236" w:type="dxa"/>
            <w:vAlign w:val="center"/>
          </w:tcPr>
          <w:p w:rsidR="006528C5" w:rsidRDefault="006528C5">
            <w:pPr>
              <w:rPr>
                <w:rFonts w:ascii="Calibri" w:hAnsi="Calibri"/>
                <w:color w:val="000000"/>
              </w:rPr>
            </w:pPr>
            <w:r>
              <w:rPr>
                <w:rFonts w:ascii="Calibri" w:hAnsi="Calibri"/>
                <w:color w:val="000000"/>
              </w:rPr>
              <w:t> </w:t>
            </w:r>
          </w:p>
        </w:tc>
        <w:tc>
          <w:tcPr>
            <w:tcW w:w="964" w:type="dxa"/>
            <w:gridSpan w:val="2"/>
            <w:vAlign w:val="center"/>
          </w:tcPr>
          <w:p w:rsidR="006528C5" w:rsidRDefault="006528C5">
            <w:pPr>
              <w:jc w:val="right"/>
              <w:rPr>
                <w:rFonts w:ascii="Calibri" w:hAnsi="Calibri"/>
                <w:color w:val="000000"/>
              </w:rPr>
            </w:pPr>
            <w:r>
              <w:rPr>
                <w:rFonts w:ascii="Calibri" w:hAnsi="Calibri"/>
                <w:color w:val="000000"/>
              </w:rPr>
              <w:t>90.78%</w:t>
            </w:r>
          </w:p>
        </w:tc>
      </w:tr>
      <w:tr w:rsidR="006528C5" w:rsidRPr="00724F7E" w:rsidTr="007404B1">
        <w:trPr>
          <w:trHeight w:val="254"/>
          <w:jc w:val="center"/>
        </w:trPr>
        <w:tc>
          <w:tcPr>
            <w:tcW w:w="1247" w:type="dxa"/>
            <w:vAlign w:val="center"/>
          </w:tcPr>
          <w:p w:rsidR="006528C5" w:rsidRDefault="006528C5" w:rsidP="00083E49">
            <w:pPr>
              <w:rPr>
                <w:rFonts w:ascii="Calibri" w:hAnsi="Calibri"/>
                <w:color w:val="000000"/>
                <w:sz w:val="20"/>
                <w:szCs w:val="20"/>
              </w:rPr>
            </w:pPr>
            <w:r>
              <w:rPr>
                <w:rFonts w:ascii="Calibri" w:hAnsi="Calibri"/>
                <w:color w:val="000000"/>
                <w:sz w:val="20"/>
                <w:szCs w:val="20"/>
              </w:rPr>
              <w:t>Netherlands</w:t>
            </w:r>
          </w:p>
        </w:tc>
        <w:tc>
          <w:tcPr>
            <w:tcW w:w="237" w:type="dxa"/>
          </w:tcPr>
          <w:p w:rsidR="006528C5" w:rsidRPr="00BC7B30" w:rsidRDefault="006528C5" w:rsidP="00083E49">
            <w:pPr>
              <w:jc w:val="center"/>
              <w:rPr>
                <w:sz w:val="20"/>
                <w:szCs w:val="20"/>
              </w:rPr>
            </w:pPr>
          </w:p>
        </w:tc>
        <w:tc>
          <w:tcPr>
            <w:tcW w:w="963" w:type="dxa"/>
            <w:vAlign w:val="center"/>
          </w:tcPr>
          <w:p w:rsidR="006528C5" w:rsidRDefault="006528C5">
            <w:pPr>
              <w:jc w:val="right"/>
              <w:rPr>
                <w:rFonts w:ascii="Calibri" w:hAnsi="Calibri"/>
                <w:color w:val="000000"/>
              </w:rPr>
            </w:pPr>
            <w:r>
              <w:rPr>
                <w:rFonts w:ascii="Calibri" w:hAnsi="Calibri"/>
                <w:color w:val="000000"/>
              </w:rPr>
              <w:t>55.09%</w:t>
            </w:r>
          </w:p>
        </w:tc>
        <w:tc>
          <w:tcPr>
            <w:tcW w:w="236" w:type="dxa"/>
            <w:vAlign w:val="center"/>
          </w:tcPr>
          <w:p w:rsidR="006528C5" w:rsidRDefault="006528C5">
            <w:pPr>
              <w:rPr>
                <w:rFonts w:ascii="Calibri" w:hAnsi="Calibri"/>
                <w:color w:val="000000"/>
              </w:rPr>
            </w:pPr>
          </w:p>
        </w:tc>
        <w:tc>
          <w:tcPr>
            <w:tcW w:w="963" w:type="dxa"/>
            <w:vAlign w:val="center"/>
          </w:tcPr>
          <w:p w:rsidR="006528C5" w:rsidRDefault="006528C5">
            <w:pPr>
              <w:jc w:val="right"/>
              <w:rPr>
                <w:rFonts w:ascii="Calibri" w:hAnsi="Calibri"/>
                <w:color w:val="000000"/>
              </w:rPr>
            </w:pPr>
            <w:r>
              <w:rPr>
                <w:rFonts w:ascii="Calibri" w:hAnsi="Calibri"/>
                <w:color w:val="000000"/>
              </w:rPr>
              <w:t>88.50%</w:t>
            </w:r>
          </w:p>
        </w:tc>
        <w:tc>
          <w:tcPr>
            <w:tcW w:w="236" w:type="dxa"/>
            <w:vAlign w:val="center"/>
          </w:tcPr>
          <w:p w:rsidR="006528C5" w:rsidRDefault="006528C5">
            <w:pPr>
              <w:rPr>
                <w:rFonts w:ascii="Calibri" w:hAnsi="Calibri"/>
                <w:color w:val="000000"/>
              </w:rPr>
            </w:pPr>
          </w:p>
        </w:tc>
        <w:tc>
          <w:tcPr>
            <w:tcW w:w="967" w:type="dxa"/>
            <w:vAlign w:val="center"/>
          </w:tcPr>
          <w:p w:rsidR="006528C5" w:rsidRDefault="006528C5">
            <w:pPr>
              <w:jc w:val="right"/>
              <w:rPr>
                <w:rFonts w:ascii="Calibri" w:hAnsi="Calibri"/>
                <w:color w:val="000000"/>
              </w:rPr>
            </w:pPr>
            <w:r>
              <w:rPr>
                <w:rFonts w:ascii="Calibri" w:hAnsi="Calibri"/>
                <w:color w:val="000000"/>
              </w:rPr>
              <w:t>89.44%</w:t>
            </w:r>
          </w:p>
        </w:tc>
        <w:tc>
          <w:tcPr>
            <w:tcW w:w="236" w:type="dxa"/>
            <w:vAlign w:val="center"/>
          </w:tcPr>
          <w:p w:rsidR="006528C5" w:rsidRPr="00BC7B30" w:rsidRDefault="006528C5" w:rsidP="00083E49">
            <w:pPr>
              <w:rPr>
                <w:rFonts w:ascii="Calibri" w:hAnsi="Calibri"/>
              </w:rPr>
            </w:pPr>
          </w:p>
        </w:tc>
        <w:tc>
          <w:tcPr>
            <w:tcW w:w="963" w:type="dxa"/>
            <w:vAlign w:val="center"/>
          </w:tcPr>
          <w:p w:rsidR="006528C5" w:rsidRDefault="006528C5">
            <w:pPr>
              <w:jc w:val="right"/>
              <w:rPr>
                <w:rFonts w:ascii="Calibri" w:hAnsi="Calibri"/>
                <w:color w:val="000000"/>
              </w:rPr>
            </w:pPr>
            <w:r>
              <w:rPr>
                <w:rFonts w:ascii="Calibri" w:hAnsi="Calibri"/>
                <w:color w:val="000000"/>
              </w:rPr>
              <w:t>55.08%</w:t>
            </w:r>
          </w:p>
        </w:tc>
        <w:tc>
          <w:tcPr>
            <w:tcW w:w="236" w:type="dxa"/>
            <w:vAlign w:val="center"/>
          </w:tcPr>
          <w:p w:rsidR="006528C5" w:rsidRDefault="006528C5">
            <w:pPr>
              <w:rPr>
                <w:rFonts w:ascii="Calibri" w:hAnsi="Calibri"/>
                <w:color w:val="000000"/>
              </w:rPr>
            </w:pPr>
          </w:p>
        </w:tc>
        <w:tc>
          <w:tcPr>
            <w:tcW w:w="963" w:type="dxa"/>
            <w:vAlign w:val="center"/>
          </w:tcPr>
          <w:p w:rsidR="006528C5" w:rsidRDefault="006528C5">
            <w:pPr>
              <w:jc w:val="right"/>
              <w:rPr>
                <w:rFonts w:ascii="Calibri" w:hAnsi="Calibri"/>
                <w:color w:val="000000"/>
              </w:rPr>
            </w:pPr>
            <w:r>
              <w:rPr>
                <w:rFonts w:ascii="Calibri" w:hAnsi="Calibri"/>
                <w:color w:val="000000"/>
              </w:rPr>
              <w:t>88.48%</w:t>
            </w:r>
          </w:p>
        </w:tc>
        <w:tc>
          <w:tcPr>
            <w:tcW w:w="236" w:type="dxa"/>
            <w:vAlign w:val="center"/>
          </w:tcPr>
          <w:p w:rsidR="006528C5" w:rsidRDefault="006528C5">
            <w:pPr>
              <w:rPr>
                <w:rFonts w:ascii="Calibri" w:hAnsi="Calibri"/>
                <w:color w:val="000000"/>
              </w:rPr>
            </w:pPr>
          </w:p>
        </w:tc>
        <w:tc>
          <w:tcPr>
            <w:tcW w:w="964" w:type="dxa"/>
            <w:gridSpan w:val="2"/>
            <w:vAlign w:val="center"/>
          </w:tcPr>
          <w:p w:rsidR="006528C5" w:rsidRDefault="006528C5">
            <w:pPr>
              <w:jc w:val="right"/>
              <w:rPr>
                <w:rFonts w:ascii="Calibri" w:hAnsi="Calibri"/>
                <w:color w:val="000000"/>
              </w:rPr>
            </w:pPr>
            <w:r>
              <w:rPr>
                <w:rFonts w:ascii="Calibri" w:hAnsi="Calibri"/>
                <w:color w:val="000000"/>
              </w:rPr>
              <w:t>89.42%</w:t>
            </w:r>
          </w:p>
        </w:tc>
      </w:tr>
      <w:tr w:rsidR="006528C5" w:rsidRPr="00724F7E" w:rsidTr="007404B1">
        <w:trPr>
          <w:trHeight w:val="254"/>
          <w:jc w:val="center"/>
        </w:trPr>
        <w:tc>
          <w:tcPr>
            <w:tcW w:w="1247" w:type="dxa"/>
            <w:vAlign w:val="center"/>
          </w:tcPr>
          <w:p w:rsidR="006528C5" w:rsidRDefault="006528C5" w:rsidP="00083E49">
            <w:pPr>
              <w:rPr>
                <w:rFonts w:ascii="Calibri" w:hAnsi="Calibri"/>
                <w:color w:val="000000"/>
                <w:sz w:val="20"/>
                <w:szCs w:val="20"/>
              </w:rPr>
            </w:pPr>
            <w:r>
              <w:rPr>
                <w:rFonts w:ascii="Calibri" w:hAnsi="Calibri"/>
                <w:color w:val="000000"/>
                <w:sz w:val="20"/>
                <w:szCs w:val="20"/>
              </w:rPr>
              <w:t>Finland</w:t>
            </w:r>
          </w:p>
        </w:tc>
        <w:tc>
          <w:tcPr>
            <w:tcW w:w="237" w:type="dxa"/>
          </w:tcPr>
          <w:p w:rsidR="006528C5" w:rsidRPr="00BC7B30" w:rsidRDefault="006528C5" w:rsidP="00083E49">
            <w:pPr>
              <w:jc w:val="center"/>
              <w:rPr>
                <w:sz w:val="20"/>
                <w:szCs w:val="20"/>
              </w:rPr>
            </w:pPr>
          </w:p>
        </w:tc>
        <w:tc>
          <w:tcPr>
            <w:tcW w:w="963" w:type="dxa"/>
            <w:vAlign w:val="center"/>
          </w:tcPr>
          <w:p w:rsidR="006528C5" w:rsidRDefault="006528C5">
            <w:pPr>
              <w:jc w:val="right"/>
              <w:rPr>
                <w:rFonts w:ascii="Calibri" w:hAnsi="Calibri"/>
                <w:color w:val="000000"/>
              </w:rPr>
            </w:pPr>
            <w:r>
              <w:rPr>
                <w:rFonts w:ascii="Calibri" w:hAnsi="Calibri"/>
                <w:color w:val="000000"/>
              </w:rPr>
              <w:t>57.40%</w:t>
            </w:r>
          </w:p>
        </w:tc>
        <w:tc>
          <w:tcPr>
            <w:tcW w:w="236" w:type="dxa"/>
            <w:vAlign w:val="center"/>
          </w:tcPr>
          <w:p w:rsidR="006528C5" w:rsidRDefault="006528C5">
            <w:pPr>
              <w:rPr>
                <w:rFonts w:ascii="Calibri" w:hAnsi="Calibri"/>
                <w:color w:val="000000"/>
              </w:rPr>
            </w:pPr>
          </w:p>
        </w:tc>
        <w:tc>
          <w:tcPr>
            <w:tcW w:w="963" w:type="dxa"/>
            <w:vAlign w:val="center"/>
          </w:tcPr>
          <w:p w:rsidR="006528C5" w:rsidRDefault="006528C5">
            <w:pPr>
              <w:jc w:val="right"/>
              <w:rPr>
                <w:rFonts w:ascii="Calibri" w:hAnsi="Calibri"/>
                <w:color w:val="000000"/>
              </w:rPr>
            </w:pPr>
            <w:r>
              <w:rPr>
                <w:rFonts w:ascii="Calibri" w:hAnsi="Calibri"/>
                <w:color w:val="000000"/>
              </w:rPr>
              <w:t>85.93%</w:t>
            </w:r>
          </w:p>
        </w:tc>
        <w:tc>
          <w:tcPr>
            <w:tcW w:w="236" w:type="dxa"/>
            <w:vAlign w:val="center"/>
          </w:tcPr>
          <w:p w:rsidR="006528C5" w:rsidRDefault="006528C5">
            <w:pPr>
              <w:rPr>
                <w:rFonts w:ascii="Calibri" w:hAnsi="Calibri"/>
                <w:color w:val="000000"/>
              </w:rPr>
            </w:pPr>
          </w:p>
        </w:tc>
        <w:tc>
          <w:tcPr>
            <w:tcW w:w="967" w:type="dxa"/>
            <w:vAlign w:val="center"/>
          </w:tcPr>
          <w:p w:rsidR="006528C5" w:rsidRDefault="006528C5">
            <w:pPr>
              <w:jc w:val="right"/>
              <w:rPr>
                <w:rFonts w:ascii="Calibri" w:hAnsi="Calibri"/>
                <w:color w:val="000000"/>
              </w:rPr>
            </w:pPr>
            <w:r>
              <w:rPr>
                <w:rFonts w:ascii="Calibri" w:hAnsi="Calibri"/>
                <w:color w:val="000000"/>
              </w:rPr>
              <w:t>93.65%</w:t>
            </w:r>
          </w:p>
        </w:tc>
        <w:tc>
          <w:tcPr>
            <w:tcW w:w="236" w:type="dxa"/>
            <w:vAlign w:val="center"/>
          </w:tcPr>
          <w:p w:rsidR="006528C5" w:rsidRPr="00BC7B30" w:rsidRDefault="006528C5" w:rsidP="00083E49">
            <w:pPr>
              <w:rPr>
                <w:rFonts w:ascii="Calibri" w:hAnsi="Calibri"/>
              </w:rPr>
            </w:pPr>
          </w:p>
        </w:tc>
        <w:tc>
          <w:tcPr>
            <w:tcW w:w="963" w:type="dxa"/>
            <w:vAlign w:val="center"/>
          </w:tcPr>
          <w:p w:rsidR="006528C5" w:rsidRDefault="006528C5">
            <w:pPr>
              <w:jc w:val="right"/>
              <w:rPr>
                <w:rFonts w:ascii="Calibri" w:hAnsi="Calibri"/>
                <w:color w:val="000000"/>
              </w:rPr>
            </w:pPr>
            <w:r>
              <w:rPr>
                <w:rFonts w:ascii="Calibri" w:hAnsi="Calibri"/>
                <w:color w:val="000000"/>
              </w:rPr>
              <w:t>57.36%</w:t>
            </w:r>
          </w:p>
        </w:tc>
        <w:tc>
          <w:tcPr>
            <w:tcW w:w="236" w:type="dxa"/>
            <w:vAlign w:val="center"/>
          </w:tcPr>
          <w:p w:rsidR="006528C5" w:rsidRDefault="006528C5">
            <w:pPr>
              <w:rPr>
                <w:rFonts w:ascii="Calibri" w:hAnsi="Calibri"/>
                <w:color w:val="000000"/>
              </w:rPr>
            </w:pPr>
          </w:p>
        </w:tc>
        <w:tc>
          <w:tcPr>
            <w:tcW w:w="963" w:type="dxa"/>
            <w:vAlign w:val="center"/>
          </w:tcPr>
          <w:p w:rsidR="006528C5" w:rsidRDefault="006528C5">
            <w:pPr>
              <w:jc w:val="right"/>
              <w:rPr>
                <w:rFonts w:ascii="Calibri" w:hAnsi="Calibri"/>
                <w:color w:val="000000"/>
              </w:rPr>
            </w:pPr>
            <w:r>
              <w:rPr>
                <w:rFonts w:ascii="Calibri" w:hAnsi="Calibri"/>
                <w:color w:val="000000"/>
              </w:rPr>
              <w:t>85.92%</w:t>
            </w:r>
          </w:p>
        </w:tc>
        <w:tc>
          <w:tcPr>
            <w:tcW w:w="236" w:type="dxa"/>
            <w:vAlign w:val="center"/>
          </w:tcPr>
          <w:p w:rsidR="006528C5" w:rsidRDefault="006528C5">
            <w:pPr>
              <w:rPr>
                <w:rFonts w:ascii="Calibri" w:hAnsi="Calibri"/>
                <w:color w:val="000000"/>
              </w:rPr>
            </w:pPr>
          </w:p>
        </w:tc>
        <w:tc>
          <w:tcPr>
            <w:tcW w:w="964" w:type="dxa"/>
            <w:gridSpan w:val="2"/>
            <w:vAlign w:val="center"/>
          </w:tcPr>
          <w:p w:rsidR="006528C5" w:rsidRDefault="006528C5">
            <w:pPr>
              <w:jc w:val="right"/>
              <w:rPr>
                <w:rFonts w:ascii="Calibri" w:hAnsi="Calibri"/>
                <w:color w:val="000000"/>
              </w:rPr>
            </w:pPr>
            <w:r>
              <w:rPr>
                <w:rFonts w:ascii="Calibri" w:hAnsi="Calibri"/>
                <w:color w:val="000000"/>
              </w:rPr>
              <w:t>93.59%</w:t>
            </w:r>
          </w:p>
        </w:tc>
      </w:tr>
      <w:tr w:rsidR="006528C5" w:rsidRPr="00724F7E" w:rsidTr="007404B1">
        <w:trPr>
          <w:trHeight w:val="254"/>
          <w:jc w:val="center"/>
        </w:trPr>
        <w:tc>
          <w:tcPr>
            <w:tcW w:w="1247" w:type="dxa"/>
            <w:vAlign w:val="center"/>
          </w:tcPr>
          <w:p w:rsidR="006528C5" w:rsidRDefault="006528C5" w:rsidP="00083E49">
            <w:pPr>
              <w:rPr>
                <w:rFonts w:ascii="Calibri" w:hAnsi="Calibri"/>
                <w:color w:val="000000"/>
                <w:sz w:val="20"/>
                <w:szCs w:val="20"/>
              </w:rPr>
            </w:pPr>
            <w:r>
              <w:rPr>
                <w:rFonts w:ascii="Calibri" w:hAnsi="Calibri"/>
                <w:color w:val="000000"/>
                <w:sz w:val="20"/>
                <w:szCs w:val="20"/>
              </w:rPr>
              <w:t>France</w:t>
            </w:r>
          </w:p>
        </w:tc>
        <w:tc>
          <w:tcPr>
            <w:tcW w:w="237" w:type="dxa"/>
          </w:tcPr>
          <w:p w:rsidR="006528C5" w:rsidRPr="00BC7B30" w:rsidRDefault="006528C5" w:rsidP="00083E49">
            <w:pPr>
              <w:jc w:val="center"/>
              <w:rPr>
                <w:sz w:val="20"/>
                <w:szCs w:val="20"/>
              </w:rPr>
            </w:pPr>
          </w:p>
        </w:tc>
        <w:tc>
          <w:tcPr>
            <w:tcW w:w="963" w:type="dxa"/>
            <w:vAlign w:val="center"/>
          </w:tcPr>
          <w:p w:rsidR="006528C5" w:rsidRDefault="006528C5">
            <w:pPr>
              <w:jc w:val="right"/>
              <w:rPr>
                <w:rFonts w:ascii="Calibri" w:hAnsi="Calibri"/>
                <w:color w:val="000000"/>
              </w:rPr>
            </w:pPr>
            <w:r>
              <w:rPr>
                <w:rFonts w:ascii="Calibri" w:hAnsi="Calibri"/>
                <w:color w:val="000000"/>
              </w:rPr>
              <w:t>57.68%</w:t>
            </w:r>
          </w:p>
        </w:tc>
        <w:tc>
          <w:tcPr>
            <w:tcW w:w="236" w:type="dxa"/>
            <w:vAlign w:val="center"/>
          </w:tcPr>
          <w:p w:rsidR="006528C5" w:rsidRDefault="006528C5">
            <w:pPr>
              <w:rPr>
                <w:rFonts w:ascii="Calibri" w:hAnsi="Calibri"/>
                <w:color w:val="000000"/>
              </w:rPr>
            </w:pPr>
          </w:p>
        </w:tc>
        <w:tc>
          <w:tcPr>
            <w:tcW w:w="963" w:type="dxa"/>
            <w:vAlign w:val="center"/>
          </w:tcPr>
          <w:p w:rsidR="006528C5" w:rsidRDefault="006528C5">
            <w:pPr>
              <w:jc w:val="right"/>
              <w:rPr>
                <w:rFonts w:ascii="Calibri" w:hAnsi="Calibri"/>
                <w:color w:val="000000"/>
              </w:rPr>
            </w:pPr>
            <w:r>
              <w:rPr>
                <w:rFonts w:ascii="Calibri" w:hAnsi="Calibri"/>
                <w:color w:val="000000"/>
              </w:rPr>
              <w:t>86.96%</w:t>
            </w:r>
          </w:p>
        </w:tc>
        <w:tc>
          <w:tcPr>
            <w:tcW w:w="236" w:type="dxa"/>
            <w:vAlign w:val="center"/>
          </w:tcPr>
          <w:p w:rsidR="006528C5" w:rsidRDefault="006528C5">
            <w:pPr>
              <w:rPr>
                <w:rFonts w:ascii="Calibri" w:hAnsi="Calibri"/>
                <w:color w:val="000000"/>
              </w:rPr>
            </w:pPr>
          </w:p>
        </w:tc>
        <w:tc>
          <w:tcPr>
            <w:tcW w:w="967" w:type="dxa"/>
            <w:vAlign w:val="center"/>
          </w:tcPr>
          <w:p w:rsidR="006528C5" w:rsidRDefault="006528C5">
            <w:pPr>
              <w:jc w:val="right"/>
              <w:rPr>
                <w:rFonts w:ascii="Calibri" w:hAnsi="Calibri"/>
                <w:color w:val="000000"/>
              </w:rPr>
            </w:pPr>
            <w:r>
              <w:rPr>
                <w:rFonts w:ascii="Calibri" w:hAnsi="Calibri"/>
                <w:color w:val="000000"/>
              </w:rPr>
              <w:t>87.41%</w:t>
            </w:r>
          </w:p>
        </w:tc>
        <w:tc>
          <w:tcPr>
            <w:tcW w:w="236" w:type="dxa"/>
            <w:vAlign w:val="center"/>
          </w:tcPr>
          <w:p w:rsidR="006528C5" w:rsidRPr="00BC7B30" w:rsidRDefault="006528C5" w:rsidP="00083E49">
            <w:pPr>
              <w:rPr>
                <w:rFonts w:ascii="Calibri" w:hAnsi="Calibri"/>
              </w:rPr>
            </w:pPr>
          </w:p>
        </w:tc>
        <w:tc>
          <w:tcPr>
            <w:tcW w:w="963" w:type="dxa"/>
            <w:vAlign w:val="center"/>
          </w:tcPr>
          <w:p w:rsidR="006528C5" w:rsidRDefault="006528C5">
            <w:pPr>
              <w:jc w:val="right"/>
              <w:rPr>
                <w:rFonts w:ascii="Calibri" w:hAnsi="Calibri"/>
                <w:color w:val="000000"/>
              </w:rPr>
            </w:pPr>
            <w:r>
              <w:rPr>
                <w:rFonts w:ascii="Calibri" w:hAnsi="Calibri"/>
                <w:color w:val="000000"/>
              </w:rPr>
              <w:t>57.66%</w:t>
            </w:r>
          </w:p>
        </w:tc>
        <w:tc>
          <w:tcPr>
            <w:tcW w:w="236" w:type="dxa"/>
            <w:vAlign w:val="center"/>
          </w:tcPr>
          <w:p w:rsidR="006528C5" w:rsidRDefault="006528C5">
            <w:pPr>
              <w:rPr>
                <w:rFonts w:ascii="Calibri" w:hAnsi="Calibri"/>
                <w:color w:val="000000"/>
              </w:rPr>
            </w:pPr>
          </w:p>
        </w:tc>
        <w:tc>
          <w:tcPr>
            <w:tcW w:w="963" w:type="dxa"/>
            <w:vAlign w:val="center"/>
          </w:tcPr>
          <w:p w:rsidR="006528C5" w:rsidRDefault="006528C5">
            <w:pPr>
              <w:jc w:val="right"/>
              <w:rPr>
                <w:rFonts w:ascii="Calibri" w:hAnsi="Calibri"/>
                <w:color w:val="000000"/>
              </w:rPr>
            </w:pPr>
            <w:r>
              <w:rPr>
                <w:rFonts w:ascii="Calibri" w:hAnsi="Calibri"/>
                <w:color w:val="000000"/>
              </w:rPr>
              <w:t>86.94%</w:t>
            </w:r>
          </w:p>
        </w:tc>
        <w:tc>
          <w:tcPr>
            <w:tcW w:w="236" w:type="dxa"/>
            <w:vAlign w:val="center"/>
          </w:tcPr>
          <w:p w:rsidR="006528C5" w:rsidRDefault="006528C5">
            <w:pPr>
              <w:rPr>
                <w:rFonts w:ascii="Calibri" w:hAnsi="Calibri"/>
                <w:color w:val="000000"/>
              </w:rPr>
            </w:pPr>
          </w:p>
        </w:tc>
        <w:tc>
          <w:tcPr>
            <w:tcW w:w="964" w:type="dxa"/>
            <w:gridSpan w:val="2"/>
            <w:vAlign w:val="center"/>
          </w:tcPr>
          <w:p w:rsidR="006528C5" w:rsidRDefault="006528C5">
            <w:pPr>
              <w:jc w:val="right"/>
              <w:rPr>
                <w:rFonts w:ascii="Calibri" w:hAnsi="Calibri"/>
                <w:color w:val="000000"/>
              </w:rPr>
            </w:pPr>
            <w:r>
              <w:rPr>
                <w:rFonts w:ascii="Calibri" w:hAnsi="Calibri"/>
                <w:color w:val="000000"/>
              </w:rPr>
              <w:t>87.38%</w:t>
            </w:r>
          </w:p>
        </w:tc>
      </w:tr>
      <w:tr w:rsidR="006528C5" w:rsidRPr="00724F7E" w:rsidTr="007404B1">
        <w:trPr>
          <w:trHeight w:val="254"/>
          <w:jc w:val="center"/>
        </w:trPr>
        <w:tc>
          <w:tcPr>
            <w:tcW w:w="1247" w:type="dxa"/>
            <w:vAlign w:val="center"/>
          </w:tcPr>
          <w:p w:rsidR="006528C5" w:rsidRDefault="006528C5" w:rsidP="00083E49">
            <w:pPr>
              <w:rPr>
                <w:rFonts w:ascii="Calibri" w:hAnsi="Calibri"/>
                <w:color w:val="000000"/>
                <w:sz w:val="20"/>
                <w:szCs w:val="20"/>
              </w:rPr>
            </w:pPr>
            <w:r>
              <w:rPr>
                <w:rFonts w:ascii="Calibri" w:hAnsi="Calibri"/>
                <w:color w:val="000000"/>
                <w:sz w:val="20"/>
                <w:szCs w:val="20"/>
              </w:rPr>
              <w:t>Austria</w:t>
            </w:r>
          </w:p>
        </w:tc>
        <w:tc>
          <w:tcPr>
            <w:tcW w:w="237" w:type="dxa"/>
          </w:tcPr>
          <w:p w:rsidR="006528C5" w:rsidRPr="00BC7B30" w:rsidRDefault="006528C5" w:rsidP="00083E49">
            <w:pPr>
              <w:jc w:val="center"/>
              <w:rPr>
                <w:sz w:val="20"/>
                <w:szCs w:val="20"/>
              </w:rPr>
            </w:pPr>
          </w:p>
        </w:tc>
        <w:tc>
          <w:tcPr>
            <w:tcW w:w="963" w:type="dxa"/>
            <w:vAlign w:val="center"/>
          </w:tcPr>
          <w:p w:rsidR="006528C5" w:rsidRDefault="006528C5">
            <w:pPr>
              <w:jc w:val="right"/>
              <w:rPr>
                <w:rFonts w:ascii="Calibri" w:hAnsi="Calibri"/>
                <w:color w:val="000000"/>
              </w:rPr>
            </w:pPr>
            <w:r>
              <w:rPr>
                <w:rFonts w:ascii="Calibri" w:hAnsi="Calibri"/>
                <w:color w:val="000000"/>
              </w:rPr>
              <w:t>51.27%</w:t>
            </w:r>
          </w:p>
        </w:tc>
        <w:tc>
          <w:tcPr>
            <w:tcW w:w="236" w:type="dxa"/>
            <w:vAlign w:val="center"/>
          </w:tcPr>
          <w:p w:rsidR="006528C5" w:rsidRDefault="006528C5">
            <w:pPr>
              <w:rPr>
                <w:rFonts w:ascii="Calibri" w:hAnsi="Calibri"/>
                <w:color w:val="000000"/>
              </w:rPr>
            </w:pPr>
          </w:p>
        </w:tc>
        <w:tc>
          <w:tcPr>
            <w:tcW w:w="963" w:type="dxa"/>
            <w:vAlign w:val="center"/>
          </w:tcPr>
          <w:p w:rsidR="006528C5" w:rsidRDefault="006528C5">
            <w:pPr>
              <w:jc w:val="right"/>
              <w:rPr>
                <w:rFonts w:ascii="Calibri" w:hAnsi="Calibri"/>
                <w:color w:val="000000"/>
              </w:rPr>
            </w:pPr>
            <w:r>
              <w:rPr>
                <w:rFonts w:ascii="Calibri" w:hAnsi="Calibri"/>
                <w:color w:val="000000"/>
              </w:rPr>
              <w:t>83.33%</w:t>
            </w:r>
          </w:p>
        </w:tc>
        <w:tc>
          <w:tcPr>
            <w:tcW w:w="236" w:type="dxa"/>
            <w:vAlign w:val="center"/>
          </w:tcPr>
          <w:p w:rsidR="006528C5" w:rsidRDefault="006528C5">
            <w:pPr>
              <w:rPr>
                <w:rFonts w:ascii="Calibri" w:hAnsi="Calibri"/>
                <w:color w:val="000000"/>
              </w:rPr>
            </w:pPr>
          </w:p>
        </w:tc>
        <w:tc>
          <w:tcPr>
            <w:tcW w:w="967" w:type="dxa"/>
            <w:vAlign w:val="center"/>
          </w:tcPr>
          <w:p w:rsidR="006528C5" w:rsidRDefault="006528C5">
            <w:pPr>
              <w:jc w:val="right"/>
              <w:rPr>
                <w:rFonts w:ascii="Calibri" w:hAnsi="Calibri"/>
                <w:color w:val="000000"/>
              </w:rPr>
            </w:pPr>
            <w:r>
              <w:rPr>
                <w:rFonts w:ascii="Calibri" w:hAnsi="Calibri"/>
                <w:color w:val="000000"/>
              </w:rPr>
              <w:t>88.22%</w:t>
            </w:r>
          </w:p>
        </w:tc>
        <w:tc>
          <w:tcPr>
            <w:tcW w:w="236" w:type="dxa"/>
            <w:vAlign w:val="center"/>
          </w:tcPr>
          <w:p w:rsidR="006528C5" w:rsidRPr="00BC7B30" w:rsidRDefault="006528C5" w:rsidP="00083E49">
            <w:pPr>
              <w:rPr>
                <w:rFonts w:ascii="Calibri" w:hAnsi="Calibri"/>
              </w:rPr>
            </w:pPr>
          </w:p>
        </w:tc>
        <w:tc>
          <w:tcPr>
            <w:tcW w:w="963" w:type="dxa"/>
            <w:vAlign w:val="center"/>
          </w:tcPr>
          <w:p w:rsidR="006528C5" w:rsidRDefault="006528C5">
            <w:pPr>
              <w:jc w:val="right"/>
              <w:rPr>
                <w:rFonts w:ascii="Calibri" w:hAnsi="Calibri"/>
                <w:color w:val="000000"/>
              </w:rPr>
            </w:pPr>
            <w:r>
              <w:rPr>
                <w:rFonts w:ascii="Calibri" w:hAnsi="Calibri"/>
                <w:color w:val="000000"/>
              </w:rPr>
              <w:t>51.26%</w:t>
            </w:r>
          </w:p>
        </w:tc>
        <w:tc>
          <w:tcPr>
            <w:tcW w:w="236" w:type="dxa"/>
            <w:vAlign w:val="center"/>
          </w:tcPr>
          <w:p w:rsidR="006528C5" w:rsidRDefault="006528C5">
            <w:pPr>
              <w:rPr>
                <w:rFonts w:ascii="Calibri" w:hAnsi="Calibri"/>
                <w:color w:val="000000"/>
              </w:rPr>
            </w:pPr>
          </w:p>
        </w:tc>
        <w:tc>
          <w:tcPr>
            <w:tcW w:w="963" w:type="dxa"/>
            <w:vAlign w:val="center"/>
          </w:tcPr>
          <w:p w:rsidR="006528C5" w:rsidRDefault="006528C5">
            <w:pPr>
              <w:jc w:val="right"/>
              <w:rPr>
                <w:rFonts w:ascii="Calibri" w:hAnsi="Calibri"/>
                <w:color w:val="000000"/>
              </w:rPr>
            </w:pPr>
            <w:r>
              <w:rPr>
                <w:rFonts w:ascii="Calibri" w:hAnsi="Calibri"/>
                <w:color w:val="000000"/>
              </w:rPr>
              <w:t>83.33%</w:t>
            </w:r>
          </w:p>
        </w:tc>
        <w:tc>
          <w:tcPr>
            <w:tcW w:w="236" w:type="dxa"/>
            <w:vAlign w:val="center"/>
          </w:tcPr>
          <w:p w:rsidR="006528C5" w:rsidRDefault="006528C5">
            <w:pPr>
              <w:rPr>
                <w:rFonts w:ascii="Calibri" w:hAnsi="Calibri"/>
                <w:color w:val="000000"/>
              </w:rPr>
            </w:pPr>
          </w:p>
        </w:tc>
        <w:tc>
          <w:tcPr>
            <w:tcW w:w="964" w:type="dxa"/>
            <w:gridSpan w:val="2"/>
            <w:vAlign w:val="center"/>
          </w:tcPr>
          <w:p w:rsidR="006528C5" w:rsidRDefault="006528C5">
            <w:pPr>
              <w:jc w:val="right"/>
              <w:rPr>
                <w:rFonts w:ascii="Calibri" w:hAnsi="Calibri"/>
                <w:color w:val="000000"/>
              </w:rPr>
            </w:pPr>
            <w:r>
              <w:rPr>
                <w:rFonts w:ascii="Calibri" w:hAnsi="Calibri"/>
                <w:color w:val="000000"/>
              </w:rPr>
              <w:t>88.20%</w:t>
            </w:r>
          </w:p>
        </w:tc>
      </w:tr>
      <w:tr w:rsidR="006528C5" w:rsidRPr="00724F7E" w:rsidTr="007404B1">
        <w:trPr>
          <w:trHeight w:val="254"/>
          <w:jc w:val="center"/>
        </w:trPr>
        <w:tc>
          <w:tcPr>
            <w:tcW w:w="1247" w:type="dxa"/>
            <w:vAlign w:val="center"/>
          </w:tcPr>
          <w:p w:rsidR="006528C5" w:rsidRDefault="006528C5" w:rsidP="00083E49">
            <w:pPr>
              <w:rPr>
                <w:rFonts w:ascii="Calibri" w:hAnsi="Calibri"/>
                <w:color w:val="000000"/>
                <w:sz w:val="20"/>
                <w:szCs w:val="20"/>
              </w:rPr>
            </w:pPr>
            <w:r>
              <w:rPr>
                <w:rFonts w:ascii="Calibri" w:hAnsi="Calibri"/>
                <w:color w:val="000000"/>
                <w:sz w:val="20"/>
                <w:szCs w:val="20"/>
              </w:rPr>
              <w:t>Belgium</w:t>
            </w:r>
          </w:p>
        </w:tc>
        <w:tc>
          <w:tcPr>
            <w:tcW w:w="237" w:type="dxa"/>
          </w:tcPr>
          <w:p w:rsidR="006528C5" w:rsidRPr="00BC7B30" w:rsidRDefault="006528C5" w:rsidP="00083E49">
            <w:pPr>
              <w:jc w:val="center"/>
              <w:rPr>
                <w:sz w:val="20"/>
                <w:szCs w:val="20"/>
              </w:rPr>
            </w:pPr>
          </w:p>
        </w:tc>
        <w:tc>
          <w:tcPr>
            <w:tcW w:w="963" w:type="dxa"/>
            <w:vAlign w:val="center"/>
          </w:tcPr>
          <w:p w:rsidR="006528C5" w:rsidRDefault="006528C5">
            <w:pPr>
              <w:jc w:val="right"/>
              <w:rPr>
                <w:rFonts w:ascii="Calibri" w:hAnsi="Calibri"/>
                <w:color w:val="000000"/>
              </w:rPr>
            </w:pPr>
            <w:r>
              <w:rPr>
                <w:rFonts w:ascii="Calibri" w:hAnsi="Calibri"/>
                <w:color w:val="000000"/>
              </w:rPr>
              <w:t>56.07%</w:t>
            </w:r>
          </w:p>
        </w:tc>
        <w:tc>
          <w:tcPr>
            <w:tcW w:w="236" w:type="dxa"/>
            <w:vAlign w:val="center"/>
          </w:tcPr>
          <w:p w:rsidR="006528C5" w:rsidRDefault="006528C5">
            <w:pPr>
              <w:rPr>
                <w:rFonts w:ascii="Calibri" w:hAnsi="Calibri"/>
                <w:color w:val="000000"/>
              </w:rPr>
            </w:pPr>
          </w:p>
        </w:tc>
        <w:tc>
          <w:tcPr>
            <w:tcW w:w="963" w:type="dxa"/>
            <w:vAlign w:val="center"/>
          </w:tcPr>
          <w:p w:rsidR="006528C5" w:rsidRDefault="006528C5">
            <w:pPr>
              <w:jc w:val="right"/>
              <w:rPr>
                <w:rFonts w:ascii="Calibri" w:hAnsi="Calibri"/>
                <w:color w:val="000000"/>
              </w:rPr>
            </w:pPr>
            <w:r>
              <w:rPr>
                <w:rFonts w:ascii="Calibri" w:hAnsi="Calibri"/>
                <w:color w:val="000000"/>
              </w:rPr>
              <w:t>82.69%</w:t>
            </w:r>
          </w:p>
        </w:tc>
        <w:tc>
          <w:tcPr>
            <w:tcW w:w="236" w:type="dxa"/>
            <w:vAlign w:val="center"/>
          </w:tcPr>
          <w:p w:rsidR="006528C5" w:rsidRDefault="006528C5">
            <w:pPr>
              <w:rPr>
                <w:rFonts w:ascii="Calibri" w:hAnsi="Calibri"/>
                <w:color w:val="000000"/>
              </w:rPr>
            </w:pPr>
          </w:p>
        </w:tc>
        <w:tc>
          <w:tcPr>
            <w:tcW w:w="967" w:type="dxa"/>
            <w:vAlign w:val="center"/>
          </w:tcPr>
          <w:p w:rsidR="006528C5" w:rsidRDefault="006528C5">
            <w:pPr>
              <w:jc w:val="right"/>
              <w:rPr>
                <w:rFonts w:ascii="Calibri" w:hAnsi="Calibri"/>
                <w:color w:val="000000"/>
              </w:rPr>
            </w:pPr>
            <w:r>
              <w:rPr>
                <w:rFonts w:ascii="Calibri" w:hAnsi="Calibri"/>
                <w:color w:val="000000"/>
              </w:rPr>
              <w:t>86.53%</w:t>
            </w:r>
          </w:p>
        </w:tc>
        <w:tc>
          <w:tcPr>
            <w:tcW w:w="236" w:type="dxa"/>
            <w:vAlign w:val="center"/>
          </w:tcPr>
          <w:p w:rsidR="006528C5" w:rsidRPr="00BC7B30" w:rsidRDefault="006528C5" w:rsidP="00083E49">
            <w:pPr>
              <w:rPr>
                <w:rFonts w:ascii="Calibri" w:hAnsi="Calibri"/>
              </w:rPr>
            </w:pPr>
          </w:p>
        </w:tc>
        <w:tc>
          <w:tcPr>
            <w:tcW w:w="963" w:type="dxa"/>
            <w:vAlign w:val="center"/>
          </w:tcPr>
          <w:p w:rsidR="006528C5" w:rsidRDefault="006528C5">
            <w:pPr>
              <w:jc w:val="right"/>
              <w:rPr>
                <w:rFonts w:ascii="Calibri" w:hAnsi="Calibri"/>
                <w:color w:val="000000"/>
              </w:rPr>
            </w:pPr>
            <w:r>
              <w:rPr>
                <w:rFonts w:ascii="Calibri" w:hAnsi="Calibri"/>
                <w:color w:val="000000"/>
              </w:rPr>
              <w:t>56.07%</w:t>
            </w:r>
          </w:p>
        </w:tc>
        <w:tc>
          <w:tcPr>
            <w:tcW w:w="236" w:type="dxa"/>
            <w:vAlign w:val="center"/>
          </w:tcPr>
          <w:p w:rsidR="006528C5" w:rsidRDefault="006528C5">
            <w:pPr>
              <w:rPr>
                <w:rFonts w:ascii="Calibri" w:hAnsi="Calibri"/>
                <w:color w:val="000000"/>
              </w:rPr>
            </w:pPr>
          </w:p>
        </w:tc>
        <w:tc>
          <w:tcPr>
            <w:tcW w:w="963" w:type="dxa"/>
            <w:vAlign w:val="center"/>
          </w:tcPr>
          <w:p w:rsidR="006528C5" w:rsidRDefault="006528C5">
            <w:pPr>
              <w:jc w:val="right"/>
              <w:rPr>
                <w:rFonts w:ascii="Calibri" w:hAnsi="Calibri"/>
                <w:color w:val="000000"/>
              </w:rPr>
            </w:pPr>
            <w:r>
              <w:rPr>
                <w:rFonts w:ascii="Calibri" w:hAnsi="Calibri"/>
                <w:color w:val="000000"/>
              </w:rPr>
              <w:t>82.69%</w:t>
            </w:r>
          </w:p>
        </w:tc>
        <w:tc>
          <w:tcPr>
            <w:tcW w:w="236" w:type="dxa"/>
            <w:vAlign w:val="center"/>
          </w:tcPr>
          <w:p w:rsidR="006528C5" w:rsidRDefault="006528C5">
            <w:pPr>
              <w:rPr>
                <w:rFonts w:ascii="Calibri" w:hAnsi="Calibri"/>
                <w:color w:val="000000"/>
              </w:rPr>
            </w:pPr>
          </w:p>
        </w:tc>
        <w:tc>
          <w:tcPr>
            <w:tcW w:w="964" w:type="dxa"/>
            <w:gridSpan w:val="2"/>
            <w:vAlign w:val="center"/>
          </w:tcPr>
          <w:p w:rsidR="006528C5" w:rsidRDefault="006528C5">
            <w:pPr>
              <w:jc w:val="right"/>
              <w:rPr>
                <w:rFonts w:ascii="Calibri" w:hAnsi="Calibri"/>
                <w:color w:val="000000"/>
              </w:rPr>
            </w:pPr>
            <w:r>
              <w:rPr>
                <w:rFonts w:ascii="Calibri" w:hAnsi="Calibri"/>
                <w:color w:val="000000"/>
              </w:rPr>
              <w:t>86.53%</w:t>
            </w:r>
          </w:p>
        </w:tc>
      </w:tr>
      <w:tr w:rsidR="006528C5" w:rsidRPr="00724F7E" w:rsidTr="007404B1">
        <w:trPr>
          <w:trHeight w:val="254"/>
          <w:jc w:val="center"/>
        </w:trPr>
        <w:tc>
          <w:tcPr>
            <w:tcW w:w="1247" w:type="dxa"/>
            <w:vAlign w:val="center"/>
          </w:tcPr>
          <w:p w:rsidR="006528C5" w:rsidRDefault="006528C5" w:rsidP="00083E49">
            <w:pPr>
              <w:rPr>
                <w:rFonts w:ascii="Calibri" w:hAnsi="Calibri"/>
                <w:color w:val="000000"/>
                <w:sz w:val="20"/>
                <w:szCs w:val="20"/>
              </w:rPr>
            </w:pPr>
            <w:r>
              <w:rPr>
                <w:rFonts w:ascii="Calibri" w:hAnsi="Calibri"/>
                <w:color w:val="000000"/>
                <w:sz w:val="20"/>
                <w:szCs w:val="20"/>
              </w:rPr>
              <w:t>Italy</w:t>
            </w:r>
          </w:p>
        </w:tc>
        <w:tc>
          <w:tcPr>
            <w:tcW w:w="237" w:type="dxa"/>
          </w:tcPr>
          <w:p w:rsidR="006528C5" w:rsidRPr="00BC7B30" w:rsidRDefault="006528C5" w:rsidP="00083E49">
            <w:pPr>
              <w:jc w:val="center"/>
              <w:rPr>
                <w:sz w:val="20"/>
                <w:szCs w:val="20"/>
              </w:rPr>
            </w:pPr>
          </w:p>
        </w:tc>
        <w:tc>
          <w:tcPr>
            <w:tcW w:w="963" w:type="dxa"/>
            <w:vAlign w:val="center"/>
          </w:tcPr>
          <w:p w:rsidR="006528C5" w:rsidRDefault="006528C5">
            <w:pPr>
              <w:jc w:val="right"/>
              <w:rPr>
                <w:rFonts w:ascii="Calibri" w:hAnsi="Calibri"/>
                <w:color w:val="000000"/>
              </w:rPr>
            </w:pPr>
            <w:r>
              <w:rPr>
                <w:rFonts w:ascii="Calibri" w:hAnsi="Calibri"/>
                <w:color w:val="000000"/>
              </w:rPr>
              <w:t>68.14%</w:t>
            </w:r>
          </w:p>
        </w:tc>
        <w:tc>
          <w:tcPr>
            <w:tcW w:w="236" w:type="dxa"/>
            <w:vAlign w:val="center"/>
          </w:tcPr>
          <w:p w:rsidR="006528C5" w:rsidRDefault="006528C5">
            <w:pPr>
              <w:rPr>
                <w:rFonts w:ascii="Calibri" w:hAnsi="Calibri"/>
                <w:color w:val="000000"/>
              </w:rPr>
            </w:pPr>
          </w:p>
        </w:tc>
        <w:tc>
          <w:tcPr>
            <w:tcW w:w="963" w:type="dxa"/>
            <w:vAlign w:val="center"/>
          </w:tcPr>
          <w:p w:rsidR="006528C5" w:rsidRDefault="006528C5">
            <w:pPr>
              <w:jc w:val="right"/>
              <w:rPr>
                <w:rFonts w:ascii="Calibri" w:hAnsi="Calibri"/>
                <w:color w:val="000000"/>
              </w:rPr>
            </w:pPr>
            <w:r>
              <w:rPr>
                <w:rFonts w:ascii="Calibri" w:hAnsi="Calibri"/>
                <w:color w:val="000000"/>
              </w:rPr>
              <w:t>90.49%</w:t>
            </w:r>
          </w:p>
        </w:tc>
        <w:tc>
          <w:tcPr>
            <w:tcW w:w="236" w:type="dxa"/>
            <w:vAlign w:val="center"/>
          </w:tcPr>
          <w:p w:rsidR="006528C5" w:rsidRDefault="006528C5">
            <w:pPr>
              <w:rPr>
                <w:rFonts w:ascii="Calibri" w:hAnsi="Calibri"/>
                <w:color w:val="000000"/>
              </w:rPr>
            </w:pPr>
          </w:p>
        </w:tc>
        <w:tc>
          <w:tcPr>
            <w:tcW w:w="967" w:type="dxa"/>
            <w:vAlign w:val="center"/>
          </w:tcPr>
          <w:p w:rsidR="006528C5" w:rsidRDefault="006528C5">
            <w:pPr>
              <w:jc w:val="right"/>
              <w:rPr>
                <w:rFonts w:ascii="Calibri" w:hAnsi="Calibri"/>
                <w:color w:val="000000"/>
              </w:rPr>
            </w:pPr>
            <w:r>
              <w:rPr>
                <w:rFonts w:ascii="Calibri" w:hAnsi="Calibri"/>
                <w:color w:val="000000"/>
              </w:rPr>
              <w:t>92.07%</w:t>
            </w:r>
          </w:p>
        </w:tc>
        <w:tc>
          <w:tcPr>
            <w:tcW w:w="236" w:type="dxa"/>
            <w:vAlign w:val="center"/>
          </w:tcPr>
          <w:p w:rsidR="006528C5" w:rsidRPr="00BC7B30" w:rsidRDefault="006528C5" w:rsidP="00083E49">
            <w:pPr>
              <w:rPr>
                <w:rFonts w:ascii="Calibri" w:hAnsi="Calibri"/>
              </w:rPr>
            </w:pPr>
          </w:p>
        </w:tc>
        <w:tc>
          <w:tcPr>
            <w:tcW w:w="963" w:type="dxa"/>
            <w:vAlign w:val="center"/>
          </w:tcPr>
          <w:p w:rsidR="006528C5" w:rsidRDefault="006528C5">
            <w:pPr>
              <w:jc w:val="right"/>
              <w:rPr>
                <w:rFonts w:ascii="Calibri" w:hAnsi="Calibri"/>
                <w:color w:val="000000"/>
              </w:rPr>
            </w:pPr>
            <w:r>
              <w:rPr>
                <w:rFonts w:ascii="Calibri" w:hAnsi="Calibri"/>
                <w:color w:val="000000"/>
              </w:rPr>
              <w:t>68.12%</w:t>
            </w:r>
          </w:p>
        </w:tc>
        <w:tc>
          <w:tcPr>
            <w:tcW w:w="236" w:type="dxa"/>
            <w:vAlign w:val="center"/>
          </w:tcPr>
          <w:p w:rsidR="006528C5" w:rsidRDefault="006528C5">
            <w:pPr>
              <w:rPr>
                <w:rFonts w:ascii="Calibri" w:hAnsi="Calibri"/>
                <w:color w:val="000000"/>
              </w:rPr>
            </w:pPr>
          </w:p>
        </w:tc>
        <w:tc>
          <w:tcPr>
            <w:tcW w:w="963" w:type="dxa"/>
            <w:vAlign w:val="center"/>
          </w:tcPr>
          <w:p w:rsidR="006528C5" w:rsidRDefault="006528C5">
            <w:pPr>
              <w:jc w:val="right"/>
              <w:rPr>
                <w:rFonts w:ascii="Calibri" w:hAnsi="Calibri"/>
                <w:color w:val="000000"/>
              </w:rPr>
            </w:pPr>
            <w:r>
              <w:rPr>
                <w:rFonts w:ascii="Calibri" w:hAnsi="Calibri"/>
                <w:color w:val="000000"/>
              </w:rPr>
              <w:t>90.48%</w:t>
            </w:r>
          </w:p>
        </w:tc>
        <w:tc>
          <w:tcPr>
            <w:tcW w:w="236" w:type="dxa"/>
            <w:vAlign w:val="center"/>
          </w:tcPr>
          <w:p w:rsidR="006528C5" w:rsidRDefault="006528C5">
            <w:pPr>
              <w:rPr>
                <w:rFonts w:ascii="Calibri" w:hAnsi="Calibri"/>
                <w:color w:val="000000"/>
              </w:rPr>
            </w:pPr>
          </w:p>
        </w:tc>
        <w:tc>
          <w:tcPr>
            <w:tcW w:w="964" w:type="dxa"/>
            <w:gridSpan w:val="2"/>
            <w:vAlign w:val="center"/>
          </w:tcPr>
          <w:p w:rsidR="006528C5" w:rsidRDefault="006528C5">
            <w:pPr>
              <w:jc w:val="right"/>
              <w:rPr>
                <w:rFonts w:ascii="Calibri" w:hAnsi="Calibri"/>
                <w:color w:val="000000"/>
              </w:rPr>
            </w:pPr>
            <w:r>
              <w:rPr>
                <w:rFonts w:ascii="Calibri" w:hAnsi="Calibri"/>
                <w:color w:val="000000"/>
              </w:rPr>
              <w:t>92.07%</w:t>
            </w:r>
          </w:p>
        </w:tc>
      </w:tr>
      <w:tr w:rsidR="006528C5" w:rsidRPr="00724F7E" w:rsidTr="007404B1">
        <w:trPr>
          <w:trHeight w:val="254"/>
          <w:jc w:val="center"/>
        </w:trPr>
        <w:tc>
          <w:tcPr>
            <w:tcW w:w="1247" w:type="dxa"/>
            <w:vAlign w:val="center"/>
          </w:tcPr>
          <w:p w:rsidR="006528C5" w:rsidRDefault="006528C5" w:rsidP="00083E49">
            <w:pPr>
              <w:rPr>
                <w:rFonts w:ascii="Calibri" w:hAnsi="Calibri"/>
                <w:color w:val="000000"/>
                <w:sz w:val="20"/>
                <w:szCs w:val="20"/>
              </w:rPr>
            </w:pPr>
            <w:r>
              <w:rPr>
                <w:rFonts w:ascii="Calibri" w:hAnsi="Calibri"/>
                <w:color w:val="000000"/>
                <w:sz w:val="20"/>
                <w:szCs w:val="20"/>
              </w:rPr>
              <w:t>Spain</w:t>
            </w:r>
          </w:p>
        </w:tc>
        <w:tc>
          <w:tcPr>
            <w:tcW w:w="237" w:type="dxa"/>
          </w:tcPr>
          <w:p w:rsidR="006528C5" w:rsidRPr="00BC7B30" w:rsidRDefault="006528C5" w:rsidP="00083E49">
            <w:pPr>
              <w:jc w:val="center"/>
              <w:rPr>
                <w:sz w:val="20"/>
                <w:szCs w:val="20"/>
              </w:rPr>
            </w:pPr>
          </w:p>
        </w:tc>
        <w:tc>
          <w:tcPr>
            <w:tcW w:w="963" w:type="dxa"/>
            <w:vAlign w:val="center"/>
          </w:tcPr>
          <w:p w:rsidR="006528C5" w:rsidRDefault="006528C5">
            <w:pPr>
              <w:jc w:val="right"/>
              <w:rPr>
                <w:rFonts w:ascii="Calibri" w:hAnsi="Calibri"/>
                <w:color w:val="000000"/>
              </w:rPr>
            </w:pPr>
            <w:r>
              <w:rPr>
                <w:rFonts w:ascii="Calibri" w:hAnsi="Calibri"/>
                <w:color w:val="000000"/>
              </w:rPr>
              <w:t>64.31%</w:t>
            </w:r>
          </w:p>
        </w:tc>
        <w:tc>
          <w:tcPr>
            <w:tcW w:w="236" w:type="dxa"/>
            <w:vAlign w:val="center"/>
          </w:tcPr>
          <w:p w:rsidR="006528C5" w:rsidRDefault="006528C5">
            <w:pPr>
              <w:rPr>
                <w:rFonts w:ascii="Calibri" w:hAnsi="Calibri"/>
                <w:color w:val="000000"/>
              </w:rPr>
            </w:pPr>
          </w:p>
        </w:tc>
        <w:tc>
          <w:tcPr>
            <w:tcW w:w="963" w:type="dxa"/>
            <w:vAlign w:val="center"/>
          </w:tcPr>
          <w:p w:rsidR="006528C5" w:rsidRDefault="006528C5">
            <w:pPr>
              <w:jc w:val="right"/>
              <w:rPr>
                <w:rFonts w:ascii="Calibri" w:hAnsi="Calibri"/>
                <w:color w:val="000000"/>
              </w:rPr>
            </w:pPr>
            <w:r>
              <w:rPr>
                <w:rFonts w:ascii="Calibri" w:hAnsi="Calibri"/>
                <w:color w:val="000000"/>
              </w:rPr>
              <w:t>88.94%</w:t>
            </w:r>
          </w:p>
        </w:tc>
        <w:tc>
          <w:tcPr>
            <w:tcW w:w="236" w:type="dxa"/>
            <w:vAlign w:val="center"/>
          </w:tcPr>
          <w:p w:rsidR="006528C5" w:rsidRDefault="006528C5">
            <w:pPr>
              <w:rPr>
                <w:rFonts w:ascii="Calibri" w:hAnsi="Calibri"/>
                <w:color w:val="000000"/>
              </w:rPr>
            </w:pPr>
          </w:p>
        </w:tc>
        <w:tc>
          <w:tcPr>
            <w:tcW w:w="967" w:type="dxa"/>
            <w:vAlign w:val="center"/>
          </w:tcPr>
          <w:p w:rsidR="006528C5" w:rsidRDefault="006528C5">
            <w:pPr>
              <w:jc w:val="right"/>
              <w:rPr>
                <w:rFonts w:ascii="Calibri" w:hAnsi="Calibri"/>
                <w:color w:val="000000"/>
              </w:rPr>
            </w:pPr>
            <w:r>
              <w:rPr>
                <w:rFonts w:ascii="Calibri" w:hAnsi="Calibri"/>
                <w:color w:val="000000"/>
              </w:rPr>
              <w:t>91.68%</w:t>
            </w:r>
          </w:p>
        </w:tc>
        <w:tc>
          <w:tcPr>
            <w:tcW w:w="236" w:type="dxa"/>
            <w:vAlign w:val="center"/>
          </w:tcPr>
          <w:p w:rsidR="006528C5" w:rsidRPr="00BC7B30" w:rsidRDefault="006528C5" w:rsidP="00083E49">
            <w:pPr>
              <w:rPr>
                <w:rFonts w:ascii="Calibri" w:hAnsi="Calibri"/>
              </w:rPr>
            </w:pPr>
          </w:p>
        </w:tc>
        <w:tc>
          <w:tcPr>
            <w:tcW w:w="963" w:type="dxa"/>
            <w:vAlign w:val="center"/>
          </w:tcPr>
          <w:p w:rsidR="006528C5" w:rsidRDefault="006528C5">
            <w:pPr>
              <w:jc w:val="right"/>
              <w:rPr>
                <w:rFonts w:ascii="Calibri" w:hAnsi="Calibri"/>
                <w:color w:val="000000"/>
              </w:rPr>
            </w:pPr>
            <w:r>
              <w:rPr>
                <w:rFonts w:ascii="Calibri" w:hAnsi="Calibri"/>
                <w:color w:val="000000"/>
              </w:rPr>
              <w:t>64.29%</w:t>
            </w:r>
          </w:p>
        </w:tc>
        <w:tc>
          <w:tcPr>
            <w:tcW w:w="236" w:type="dxa"/>
            <w:vAlign w:val="center"/>
          </w:tcPr>
          <w:p w:rsidR="006528C5" w:rsidRDefault="006528C5">
            <w:pPr>
              <w:rPr>
                <w:rFonts w:ascii="Calibri" w:hAnsi="Calibri"/>
                <w:color w:val="000000"/>
              </w:rPr>
            </w:pPr>
          </w:p>
        </w:tc>
        <w:tc>
          <w:tcPr>
            <w:tcW w:w="963" w:type="dxa"/>
            <w:vAlign w:val="center"/>
          </w:tcPr>
          <w:p w:rsidR="006528C5" w:rsidRDefault="006528C5">
            <w:pPr>
              <w:jc w:val="right"/>
              <w:rPr>
                <w:rFonts w:ascii="Calibri" w:hAnsi="Calibri"/>
                <w:color w:val="000000"/>
              </w:rPr>
            </w:pPr>
            <w:r>
              <w:rPr>
                <w:rFonts w:ascii="Calibri" w:hAnsi="Calibri"/>
                <w:color w:val="000000"/>
              </w:rPr>
              <w:t>88.94%</w:t>
            </w:r>
          </w:p>
        </w:tc>
        <w:tc>
          <w:tcPr>
            <w:tcW w:w="236" w:type="dxa"/>
            <w:vAlign w:val="center"/>
          </w:tcPr>
          <w:p w:rsidR="006528C5" w:rsidRDefault="006528C5">
            <w:pPr>
              <w:rPr>
                <w:rFonts w:ascii="Calibri" w:hAnsi="Calibri"/>
                <w:color w:val="000000"/>
              </w:rPr>
            </w:pPr>
          </w:p>
        </w:tc>
        <w:tc>
          <w:tcPr>
            <w:tcW w:w="964" w:type="dxa"/>
            <w:gridSpan w:val="2"/>
            <w:vAlign w:val="center"/>
          </w:tcPr>
          <w:p w:rsidR="006528C5" w:rsidRDefault="006528C5">
            <w:pPr>
              <w:jc w:val="right"/>
              <w:rPr>
                <w:rFonts w:ascii="Calibri" w:hAnsi="Calibri"/>
                <w:color w:val="000000"/>
              </w:rPr>
            </w:pPr>
            <w:r>
              <w:rPr>
                <w:rFonts w:ascii="Calibri" w:hAnsi="Calibri"/>
                <w:color w:val="000000"/>
              </w:rPr>
              <w:t>91.67%</w:t>
            </w:r>
          </w:p>
        </w:tc>
      </w:tr>
      <w:tr w:rsidR="006528C5" w:rsidRPr="00724F7E" w:rsidTr="007404B1">
        <w:trPr>
          <w:trHeight w:val="254"/>
          <w:jc w:val="center"/>
        </w:trPr>
        <w:tc>
          <w:tcPr>
            <w:tcW w:w="1247" w:type="dxa"/>
            <w:vAlign w:val="center"/>
          </w:tcPr>
          <w:p w:rsidR="006528C5" w:rsidRDefault="006528C5" w:rsidP="00083E49">
            <w:pPr>
              <w:rPr>
                <w:rFonts w:ascii="Calibri" w:hAnsi="Calibri"/>
                <w:color w:val="000000"/>
                <w:sz w:val="20"/>
                <w:szCs w:val="20"/>
              </w:rPr>
            </w:pPr>
            <w:r>
              <w:rPr>
                <w:rFonts w:ascii="Calibri" w:hAnsi="Calibri"/>
                <w:color w:val="000000"/>
                <w:sz w:val="20"/>
                <w:szCs w:val="20"/>
              </w:rPr>
              <w:t>Portugal</w:t>
            </w:r>
          </w:p>
        </w:tc>
        <w:tc>
          <w:tcPr>
            <w:tcW w:w="237" w:type="dxa"/>
          </w:tcPr>
          <w:p w:rsidR="006528C5" w:rsidRPr="00BC7B30" w:rsidRDefault="006528C5" w:rsidP="00083E49">
            <w:pPr>
              <w:jc w:val="center"/>
              <w:rPr>
                <w:sz w:val="20"/>
                <w:szCs w:val="20"/>
              </w:rPr>
            </w:pPr>
          </w:p>
        </w:tc>
        <w:tc>
          <w:tcPr>
            <w:tcW w:w="963" w:type="dxa"/>
            <w:vAlign w:val="center"/>
          </w:tcPr>
          <w:p w:rsidR="006528C5" w:rsidRDefault="006528C5">
            <w:pPr>
              <w:jc w:val="right"/>
              <w:rPr>
                <w:rFonts w:ascii="Calibri" w:hAnsi="Calibri"/>
                <w:color w:val="000000"/>
              </w:rPr>
            </w:pPr>
            <w:r>
              <w:rPr>
                <w:rFonts w:ascii="Calibri" w:hAnsi="Calibri"/>
                <w:color w:val="000000"/>
              </w:rPr>
              <w:t>12.96%</w:t>
            </w:r>
          </w:p>
        </w:tc>
        <w:tc>
          <w:tcPr>
            <w:tcW w:w="236" w:type="dxa"/>
            <w:vAlign w:val="center"/>
          </w:tcPr>
          <w:p w:rsidR="006528C5" w:rsidRDefault="006528C5">
            <w:pPr>
              <w:rPr>
                <w:rFonts w:ascii="Calibri" w:hAnsi="Calibri"/>
                <w:color w:val="000000"/>
              </w:rPr>
            </w:pPr>
          </w:p>
        </w:tc>
        <w:tc>
          <w:tcPr>
            <w:tcW w:w="963" w:type="dxa"/>
            <w:vAlign w:val="center"/>
          </w:tcPr>
          <w:p w:rsidR="006528C5" w:rsidRDefault="006528C5">
            <w:pPr>
              <w:jc w:val="right"/>
              <w:rPr>
                <w:rFonts w:ascii="Calibri" w:hAnsi="Calibri"/>
                <w:color w:val="000000"/>
              </w:rPr>
            </w:pPr>
            <w:r>
              <w:rPr>
                <w:rFonts w:ascii="Calibri" w:hAnsi="Calibri"/>
                <w:color w:val="000000"/>
              </w:rPr>
              <w:t>29.06%</w:t>
            </w:r>
          </w:p>
        </w:tc>
        <w:tc>
          <w:tcPr>
            <w:tcW w:w="236" w:type="dxa"/>
            <w:vAlign w:val="center"/>
          </w:tcPr>
          <w:p w:rsidR="006528C5" w:rsidRDefault="006528C5">
            <w:pPr>
              <w:rPr>
                <w:rFonts w:ascii="Calibri" w:hAnsi="Calibri"/>
                <w:color w:val="000000"/>
              </w:rPr>
            </w:pPr>
          </w:p>
        </w:tc>
        <w:tc>
          <w:tcPr>
            <w:tcW w:w="967" w:type="dxa"/>
            <w:vAlign w:val="center"/>
          </w:tcPr>
          <w:p w:rsidR="006528C5" w:rsidRDefault="006528C5">
            <w:pPr>
              <w:jc w:val="right"/>
              <w:rPr>
                <w:rFonts w:ascii="Calibri" w:hAnsi="Calibri"/>
                <w:color w:val="000000"/>
              </w:rPr>
            </w:pPr>
            <w:r>
              <w:rPr>
                <w:rFonts w:ascii="Calibri" w:hAnsi="Calibri"/>
                <w:color w:val="000000"/>
              </w:rPr>
              <w:t>45.76%</w:t>
            </w:r>
          </w:p>
        </w:tc>
        <w:tc>
          <w:tcPr>
            <w:tcW w:w="236" w:type="dxa"/>
            <w:vAlign w:val="center"/>
          </w:tcPr>
          <w:p w:rsidR="006528C5" w:rsidRPr="00BC7B30" w:rsidRDefault="006528C5" w:rsidP="00083E49">
            <w:pPr>
              <w:rPr>
                <w:rFonts w:ascii="Calibri" w:hAnsi="Calibri"/>
              </w:rPr>
            </w:pPr>
          </w:p>
        </w:tc>
        <w:tc>
          <w:tcPr>
            <w:tcW w:w="963" w:type="dxa"/>
            <w:vAlign w:val="center"/>
          </w:tcPr>
          <w:p w:rsidR="006528C5" w:rsidRDefault="006528C5">
            <w:pPr>
              <w:jc w:val="right"/>
              <w:rPr>
                <w:rFonts w:ascii="Calibri" w:hAnsi="Calibri"/>
                <w:color w:val="000000"/>
              </w:rPr>
            </w:pPr>
            <w:r>
              <w:rPr>
                <w:rFonts w:ascii="Calibri" w:hAnsi="Calibri"/>
                <w:color w:val="000000"/>
              </w:rPr>
              <w:t>12.96%</w:t>
            </w:r>
          </w:p>
        </w:tc>
        <w:tc>
          <w:tcPr>
            <w:tcW w:w="236" w:type="dxa"/>
            <w:vAlign w:val="center"/>
          </w:tcPr>
          <w:p w:rsidR="006528C5" w:rsidRDefault="006528C5">
            <w:pPr>
              <w:rPr>
                <w:rFonts w:ascii="Calibri" w:hAnsi="Calibri"/>
                <w:color w:val="000000"/>
              </w:rPr>
            </w:pPr>
          </w:p>
        </w:tc>
        <w:tc>
          <w:tcPr>
            <w:tcW w:w="963" w:type="dxa"/>
            <w:vAlign w:val="center"/>
          </w:tcPr>
          <w:p w:rsidR="006528C5" w:rsidRDefault="006528C5">
            <w:pPr>
              <w:jc w:val="right"/>
              <w:rPr>
                <w:rFonts w:ascii="Calibri" w:hAnsi="Calibri"/>
                <w:color w:val="000000"/>
              </w:rPr>
            </w:pPr>
            <w:r>
              <w:rPr>
                <w:rFonts w:ascii="Calibri" w:hAnsi="Calibri"/>
                <w:color w:val="000000"/>
              </w:rPr>
              <w:t>29.06%</w:t>
            </w:r>
          </w:p>
        </w:tc>
        <w:tc>
          <w:tcPr>
            <w:tcW w:w="236" w:type="dxa"/>
            <w:vAlign w:val="center"/>
          </w:tcPr>
          <w:p w:rsidR="006528C5" w:rsidRDefault="006528C5">
            <w:pPr>
              <w:rPr>
                <w:rFonts w:ascii="Calibri" w:hAnsi="Calibri"/>
                <w:color w:val="000000"/>
              </w:rPr>
            </w:pPr>
          </w:p>
        </w:tc>
        <w:tc>
          <w:tcPr>
            <w:tcW w:w="964" w:type="dxa"/>
            <w:gridSpan w:val="2"/>
            <w:vAlign w:val="center"/>
          </w:tcPr>
          <w:p w:rsidR="006528C5" w:rsidRDefault="006528C5">
            <w:pPr>
              <w:jc w:val="right"/>
              <w:rPr>
                <w:rFonts w:ascii="Calibri" w:hAnsi="Calibri"/>
                <w:color w:val="000000"/>
              </w:rPr>
            </w:pPr>
            <w:r>
              <w:rPr>
                <w:rFonts w:ascii="Calibri" w:hAnsi="Calibri"/>
                <w:color w:val="000000"/>
              </w:rPr>
              <w:t>45.76%</w:t>
            </w:r>
          </w:p>
        </w:tc>
      </w:tr>
      <w:tr w:rsidR="006528C5" w:rsidRPr="00724F7E" w:rsidTr="007404B1">
        <w:trPr>
          <w:trHeight w:val="254"/>
          <w:jc w:val="center"/>
        </w:trPr>
        <w:tc>
          <w:tcPr>
            <w:tcW w:w="1247" w:type="dxa"/>
            <w:vAlign w:val="center"/>
          </w:tcPr>
          <w:p w:rsidR="006528C5" w:rsidRDefault="006528C5" w:rsidP="00083E49">
            <w:pPr>
              <w:rPr>
                <w:rFonts w:ascii="Calibri" w:hAnsi="Calibri"/>
                <w:color w:val="000000"/>
                <w:sz w:val="20"/>
                <w:szCs w:val="20"/>
              </w:rPr>
            </w:pPr>
            <w:r>
              <w:rPr>
                <w:rFonts w:ascii="Calibri" w:hAnsi="Calibri"/>
                <w:color w:val="000000"/>
                <w:sz w:val="20"/>
                <w:szCs w:val="20"/>
              </w:rPr>
              <w:t>Ireland</w:t>
            </w:r>
          </w:p>
        </w:tc>
        <w:tc>
          <w:tcPr>
            <w:tcW w:w="237" w:type="dxa"/>
          </w:tcPr>
          <w:p w:rsidR="006528C5" w:rsidRPr="00BC7B30" w:rsidRDefault="006528C5" w:rsidP="00083E49">
            <w:pPr>
              <w:jc w:val="center"/>
              <w:rPr>
                <w:sz w:val="20"/>
                <w:szCs w:val="20"/>
              </w:rPr>
            </w:pPr>
          </w:p>
        </w:tc>
        <w:tc>
          <w:tcPr>
            <w:tcW w:w="963" w:type="dxa"/>
            <w:vAlign w:val="center"/>
          </w:tcPr>
          <w:p w:rsidR="006528C5" w:rsidRDefault="006528C5">
            <w:pPr>
              <w:jc w:val="right"/>
              <w:rPr>
                <w:rFonts w:ascii="Calibri" w:hAnsi="Calibri"/>
                <w:color w:val="000000"/>
              </w:rPr>
            </w:pPr>
            <w:r>
              <w:rPr>
                <w:rFonts w:ascii="Calibri" w:hAnsi="Calibri"/>
                <w:color w:val="000000"/>
              </w:rPr>
              <w:t>48.94%</w:t>
            </w:r>
          </w:p>
        </w:tc>
        <w:tc>
          <w:tcPr>
            <w:tcW w:w="236" w:type="dxa"/>
            <w:vAlign w:val="center"/>
          </w:tcPr>
          <w:p w:rsidR="006528C5" w:rsidRDefault="006528C5">
            <w:pPr>
              <w:rPr>
                <w:rFonts w:ascii="Calibri" w:hAnsi="Calibri"/>
                <w:color w:val="000000"/>
              </w:rPr>
            </w:pPr>
          </w:p>
        </w:tc>
        <w:tc>
          <w:tcPr>
            <w:tcW w:w="963" w:type="dxa"/>
            <w:vAlign w:val="center"/>
          </w:tcPr>
          <w:p w:rsidR="006528C5" w:rsidRDefault="006528C5">
            <w:pPr>
              <w:jc w:val="right"/>
              <w:rPr>
                <w:rFonts w:ascii="Calibri" w:hAnsi="Calibri"/>
                <w:color w:val="000000"/>
              </w:rPr>
            </w:pPr>
            <w:r>
              <w:rPr>
                <w:rFonts w:ascii="Calibri" w:hAnsi="Calibri"/>
                <w:color w:val="000000"/>
              </w:rPr>
              <w:t>72.67%</w:t>
            </w:r>
          </w:p>
        </w:tc>
        <w:tc>
          <w:tcPr>
            <w:tcW w:w="236" w:type="dxa"/>
            <w:vAlign w:val="center"/>
          </w:tcPr>
          <w:p w:rsidR="006528C5" w:rsidRDefault="006528C5">
            <w:pPr>
              <w:rPr>
                <w:rFonts w:ascii="Calibri" w:hAnsi="Calibri"/>
                <w:color w:val="000000"/>
              </w:rPr>
            </w:pPr>
          </w:p>
        </w:tc>
        <w:tc>
          <w:tcPr>
            <w:tcW w:w="967" w:type="dxa"/>
            <w:vAlign w:val="center"/>
          </w:tcPr>
          <w:p w:rsidR="006528C5" w:rsidRDefault="006528C5">
            <w:pPr>
              <w:jc w:val="right"/>
              <w:rPr>
                <w:rFonts w:ascii="Calibri" w:hAnsi="Calibri"/>
                <w:color w:val="000000"/>
              </w:rPr>
            </w:pPr>
            <w:r>
              <w:rPr>
                <w:rFonts w:ascii="Calibri" w:hAnsi="Calibri"/>
                <w:color w:val="000000"/>
              </w:rPr>
              <w:t>83.81%</w:t>
            </w:r>
          </w:p>
        </w:tc>
        <w:tc>
          <w:tcPr>
            <w:tcW w:w="236" w:type="dxa"/>
            <w:vAlign w:val="center"/>
          </w:tcPr>
          <w:p w:rsidR="006528C5" w:rsidRPr="00BC7B30" w:rsidRDefault="006528C5" w:rsidP="00083E49">
            <w:pPr>
              <w:rPr>
                <w:rFonts w:ascii="Calibri" w:hAnsi="Calibri"/>
              </w:rPr>
            </w:pPr>
          </w:p>
        </w:tc>
        <w:tc>
          <w:tcPr>
            <w:tcW w:w="963" w:type="dxa"/>
            <w:vAlign w:val="center"/>
          </w:tcPr>
          <w:p w:rsidR="006528C5" w:rsidRDefault="006528C5">
            <w:pPr>
              <w:jc w:val="right"/>
              <w:rPr>
                <w:rFonts w:ascii="Calibri" w:hAnsi="Calibri"/>
                <w:color w:val="000000"/>
              </w:rPr>
            </w:pPr>
            <w:r>
              <w:rPr>
                <w:rFonts w:ascii="Calibri" w:hAnsi="Calibri"/>
                <w:color w:val="000000"/>
              </w:rPr>
              <w:t>48.94%</w:t>
            </w:r>
          </w:p>
        </w:tc>
        <w:tc>
          <w:tcPr>
            <w:tcW w:w="236" w:type="dxa"/>
            <w:vAlign w:val="center"/>
          </w:tcPr>
          <w:p w:rsidR="006528C5" w:rsidRDefault="006528C5">
            <w:pPr>
              <w:rPr>
                <w:rFonts w:ascii="Calibri" w:hAnsi="Calibri"/>
                <w:color w:val="000000"/>
              </w:rPr>
            </w:pPr>
          </w:p>
        </w:tc>
        <w:tc>
          <w:tcPr>
            <w:tcW w:w="963" w:type="dxa"/>
            <w:vAlign w:val="center"/>
          </w:tcPr>
          <w:p w:rsidR="006528C5" w:rsidRDefault="006528C5">
            <w:pPr>
              <w:jc w:val="right"/>
              <w:rPr>
                <w:rFonts w:ascii="Calibri" w:hAnsi="Calibri"/>
                <w:color w:val="000000"/>
              </w:rPr>
            </w:pPr>
            <w:r>
              <w:rPr>
                <w:rFonts w:ascii="Calibri" w:hAnsi="Calibri"/>
                <w:color w:val="000000"/>
              </w:rPr>
              <w:t>72.67%</w:t>
            </w:r>
          </w:p>
        </w:tc>
        <w:tc>
          <w:tcPr>
            <w:tcW w:w="236" w:type="dxa"/>
            <w:vAlign w:val="center"/>
          </w:tcPr>
          <w:p w:rsidR="006528C5" w:rsidRDefault="006528C5">
            <w:pPr>
              <w:rPr>
                <w:rFonts w:ascii="Calibri" w:hAnsi="Calibri"/>
                <w:color w:val="000000"/>
              </w:rPr>
            </w:pPr>
          </w:p>
        </w:tc>
        <w:tc>
          <w:tcPr>
            <w:tcW w:w="964" w:type="dxa"/>
            <w:gridSpan w:val="2"/>
            <w:vAlign w:val="center"/>
          </w:tcPr>
          <w:p w:rsidR="006528C5" w:rsidRDefault="006528C5">
            <w:pPr>
              <w:jc w:val="right"/>
              <w:rPr>
                <w:rFonts w:ascii="Calibri" w:hAnsi="Calibri"/>
                <w:color w:val="000000"/>
              </w:rPr>
            </w:pPr>
            <w:r>
              <w:rPr>
                <w:rFonts w:ascii="Calibri" w:hAnsi="Calibri"/>
                <w:color w:val="000000"/>
              </w:rPr>
              <w:t>83.81%</w:t>
            </w:r>
          </w:p>
        </w:tc>
      </w:tr>
      <w:tr w:rsidR="006528C5" w:rsidRPr="00724F7E" w:rsidTr="007404B1">
        <w:trPr>
          <w:trHeight w:val="254"/>
          <w:jc w:val="center"/>
        </w:trPr>
        <w:tc>
          <w:tcPr>
            <w:tcW w:w="1247" w:type="dxa"/>
            <w:tcBorders>
              <w:bottom w:val="single" w:sz="4" w:space="0" w:color="auto"/>
            </w:tcBorders>
            <w:vAlign w:val="center"/>
          </w:tcPr>
          <w:p w:rsidR="006528C5" w:rsidRDefault="006528C5" w:rsidP="00083E49">
            <w:pPr>
              <w:rPr>
                <w:rFonts w:ascii="Calibri" w:hAnsi="Calibri"/>
                <w:color w:val="000000"/>
                <w:sz w:val="20"/>
                <w:szCs w:val="20"/>
              </w:rPr>
            </w:pPr>
            <w:r>
              <w:rPr>
                <w:rFonts w:ascii="Calibri" w:hAnsi="Calibri"/>
                <w:color w:val="000000"/>
                <w:sz w:val="20"/>
                <w:szCs w:val="20"/>
              </w:rPr>
              <w:t>Greece</w:t>
            </w:r>
          </w:p>
        </w:tc>
        <w:tc>
          <w:tcPr>
            <w:tcW w:w="237" w:type="dxa"/>
            <w:tcBorders>
              <w:bottom w:val="single" w:sz="4" w:space="0" w:color="auto"/>
            </w:tcBorders>
          </w:tcPr>
          <w:p w:rsidR="006528C5" w:rsidRPr="00BC7B30" w:rsidRDefault="006528C5" w:rsidP="00083E49">
            <w:pPr>
              <w:jc w:val="center"/>
              <w:rPr>
                <w:sz w:val="20"/>
                <w:szCs w:val="20"/>
              </w:rPr>
            </w:pPr>
          </w:p>
        </w:tc>
        <w:tc>
          <w:tcPr>
            <w:tcW w:w="963" w:type="dxa"/>
            <w:tcBorders>
              <w:bottom w:val="single" w:sz="4" w:space="0" w:color="auto"/>
            </w:tcBorders>
            <w:vAlign w:val="center"/>
          </w:tcPr>
          <w:p w:rsidR="006528C5" w:rsidRDefault="006528C5">
            <w:pPr>
              <w:jc w:val="right"/>
              <w:rPr>
                <w:rFonts w:ascii="Calibri" w:hAnsi="Calibri"/>
                <w:color w:val="000000"/>
              </w:rPr>
            </w:pPr>
            <w:r>
              <w:rPr>
                <w:rFonts w:ascii="Calibri" w:hAnsi="Calibri"/>
                <w:color w:val="000000"/>
              </w:rPr>
              <w:t>42.67%</w:t>
            </w:r>
          </w:p>
        </w:tc>
        <w:tc>
          <w:tcPr>
            <w:tcW w:w="236" w:type="dxa"/>
            <w:tcBorders>
              <w:bottom w:val="single" w:sz="4" w:space="0" w:color="auto"/>
            </w:tcBorders>
            <w:vAlign w:val="center"/>
          </w:tcPr>
          <w:p w:rsidR="006528C5" w:rsidRDefault="006528C5">
            <w:pPr>
              <w:rPr>
                <w:rFonts w:ascii="Calibri" w:hAnsi="Calibri"/>
                <w:color w:val="000000"/>
              </w:rPr>
            </w:pPr>
            <w:r>
              <w:rPr>
                <w:rFonts w:ascii="Calibri" w:hAnsi="Calibri"/>
                <w:color w:val="000000"/>
              </w:rPr>
              <w:t> </w:t>
            </w:r>
          </w:p>
        </w:tc>
        <w:tc>
          <w:tcPr>
            <w:tcW w:w="963" w:type="dxa"/>
            <w:tcBorders>
              <w:bottom w:val="single" w:sz="4" w:space="0" w:color="auto"/>
            </w:tcBorders>
            <w:vAlign w:val="center"/>
          </w:tcPr>
          <w:p w:rsidR="006528C5" w:rsidRDefault="006528C5">
            <w:pPr>
              <w:jc w:val="right"/>
              <w:rPr>
                <w:rFonts w:ascii="Calibri" w:hAnsi="Calibri"/>
                <w:color w:val="000000"/>
              </w:rPr>
            </w:pPr>
            <w:r>
              <w:rPr>
                <w:rFonts w:ascii="Calibri" w:hAnsi="Calibri"/>
                <w:color w:val="000000"/>
              </w:rPr>
              <w:t>65.67%</w:t>
            </w:r>
          </w:p>
        </w:tc>
        <w:tc>
          <w:tcPr>
            <w:tcW w:w="236" w:type="dxa"/>
            <w:tcBorders>
              <w:bottom w:val="single" w:sz="4" w:space="0" w:color="auto"/>
            </w:tcBorders>
            <w:vAlign w:val="center"/>
          </w:tcPr>
          <w:p w:rsidR="006528C5" w:rsidRDefault="006528C5">
            <w:pPr>
              <w:rPr>
                <w:rFonts w:ascii="Calibri" w:hAnsi="Calibri"/>
                <w:color w:val="000000"/>
              </w:rPr>
            </w:pPr>
            <w:r>
              <w:rPr>
                <w:rFonts w:ascii="Calibri" w:hAnsi="Calibri"/>
                <w:color w:val="000000"/>
              </w:rPr>
              <w:t> </w:t>
            </w:r>
          </w:p>
        </w:tc>
        <w:tc>
          <w:tcPr>
            <w:tcW w:w="967" w:type="dxa"/>
            <w:tcBorders>
              <w:bottom w:val="single" w:sz="4" w:space="0" w:color="auto"/>
            </w:tcBorders>
            <w:vAlign w:val="center"/>
          </w:tcPr>
          <w:p w:rsidR="006528C5" w:rsidRDefault="006528C5">
            <w:pPr>
              <w:jc w:val="right"/>
              <w:rPr>
                <w:rFonts w:ascii="Calibri" w:hAnsi="Calibri"/>
                <w:color w:val="000000"/>
              </w:rPr>
            </w:pPr>
            <w:r>
              <w:rPr>
                <w:rFonts w:ascii="Calibri" w:hAnsi="Calibri"/>
                <w:color w:val="000000"/>
              </w:rPr>
              <w:t>54.29%</w:t>
            </w:r>
          </w:p>
        </w:tc>
        <w:tc>
          <w:tcPr>
            <w:tcW w:w="236" w:type="dxa"/>
            <w:tcBorders>
              <w:bottom w:val="single" w:sz="4" w:space="0" w:color="auto"/>
            </w:tcBorders>
            <w:vAlign w:val="center"/>
          </w:tcPr>
          <w:p w:rsidR="006528C5" w:rsidRPr="00BC7B30" w:rsidRDefault="006528C5" w:rsidP="00083E49">
            <w:pPr>
              <w:rPr>
                <w:rFonts w:ascii="Calibri" w:hAnsi="Calibri"/>
              </w:rPr>
            </w:pPr>
          </w:p>
        </w:tc>
        <w:tc>
          <w:tcPr>
            <w:tcW w:w="963" w:type="dxa"/>
            <w:tcBorders>
              <w:bottom w:val="single" w:sz="4" w:space="0" w:color="auto"/>
            </w:tcBorders>
            <w:vAlign w:val="center"/>
          </w:tcPr>
          <w:p w:rsidR="006528C5" w:rsidRDefault="006528C5">
            <w:pPr>
              <w:jc w:val="right"/>
              <w:rPr>
                <w:rFonts w:ascii="Calibri" w:hAnsi="Calibri"/>
                <w:color w:val="000000"/>
              </w:rPr>
            </w:pPr>
            <w:r>
              <w:rPr>
                <w:rFonts w:ascii="Calibri" w:hAnsi="Calibri"/>
                <w:color w:val="000000"/>
              </w:rPr>
              <w:t>42.78%</w:t>
            </w:r>
          </w:p>
        </w:tc>
        <w:tc>
          <w:tcPr>
            <w:tcW w:w="236" w:type="dxa"/>
            <w:tcBorders>
              <w:bottom w:val="single" w:sz="4" w:space="0" w:color="auto"/>
            </w:tcBorders>
            <w:vAlign w:val="center"/>
          </w:tcPr>
          <w:p w:rsidR="006528C5" w:rsidRDefault="006528C5">
            <w:pPr>
              <w:rPr>
                <w:rFonts w:ascii="Calibri" w:hAnsi="Calibri"/>
                <w:color w:val="000000"/>
              </w:rPr>
            </w:pPr>
            <w:r>
              <w:rPr>
                <w:rFonts w:ascii="Calibri" w:hAnsi="Calibri"/>
                <w:color w:val="000000"/>
              </w:rPr>
              <w:t> </w:t>
            </w:r>
          </w:p>
        </w:tc>
        <w:tc>
          <w:tcPr>
            <w:tcW w:w="963" w:type="dxa"/>
            <w:tcBorders>
              <w:bottom w:val="single" w:sz="4" w:space="0" w:color="auto"/>
            </w:tcBorders>
            <w:vAlign w:val="center"/>
          </w:tcPr>
          <w:p w:rsidR="006528C5" w:rsidRDefault="006528C5">
            <w:pPr>
              <w:jc w:val="right"/>
              <w:rPr>
                <w:rFonts w:ascii="Calibri" w:hAnsi="Calibri"/>
                <w:color w:val="000000"/>
              </w:rPr>
            </w:pPr>
            <w:r>
              <w:rPr>
                <w:rFonts w:ascii="Calibri" w:hAnsi="Calibri"/>
                <w:color w:val="000000"/>
              </w:rPr>
              <w:t>65.68%</w:t>
            </w:r>
          </w:p>
        </w:tc>
        <w:tc>
          <w:tcPr>
            <w:tcW w:w="236" w:type="dxa"/>
            <w:tcBorders>
              <w:bottom w:val="single" w:sz="4" w:space="0" w:color="auto"/>
            </w:tcBorders>
            <w:vAlign w:val="center"/>
          </w:tcPr>
          <w:p w:rsidR="006528C5" w:rsidRDefault="006528C5">
            <w:pPr>
              <w:rPr>
                <w:rFonts w:ascii="Calibri" w:hAnsi="Calibri"/>
                <w:color w:val="000000"/>
              </w:rPr>
            </w:pPr>
            <w:r>
              <w:rPr>
                <w:rFonts w:ascii="Calibri" w:hAnsi="Calibri"/>
                <w:color w:val="000000"/>
              </w:rPr>
              <w:t> </w:t>
            </w:r>
          </w:p>
        </w:tc>
        <w:tc>
          <w:tcPr>
            <w:tcW w:w="964" w:type="dxa"/>
            <w:gridSpan w:val="2"/>
            <w:tcBorders>
              <w:bottom w:val="single" w:sz="4" w:space="0" w:color="auto"/>
            </w:tcBorders>
            <w:vAlign w:val="center"/>
          </w:tcPr>
          <w:p w:rsidR="006528C5" w:rsidRDefault="006528C5">
            <w:pPr>
              <w:jc w:val="right"/>
              <w:rPr>
                <w:rFonts w:ascii="Calibri" w:hAnsi="Calibri"/>
                <w:color w:val="000000"/>
              </w:rPr>
            </w:pPr>
            <w:r>
              <w:rPr>
                <w:rFonts w:ascii="Calibri" w:hAnsi="Calibri"/>
                <w:color w:val="000000"/>
              </w:rPr>
              <w:t>54.28%</w:t>
            </w:r>
          </w:p>
        </w:tc>
      </w:tr>
    </w:tbl>
    <w:p w:rsidR="00002A16" w:rsidRDefault="00002A16" w:rsidP="000F54BD">
      <w:pPr>
        <w:pStyle w:val="Default"/>
        <w:rPr>
          <w:rFonts w:ascii="TTdcr10" w:hAnsi="TTdcr10" w:cs="TTdcr10"/>
          <w:color w:val="auto"/>
        </w:rPr>
      </w:pPr>
    </w:p>
    <w:p w:rsidR="00AE792B" w:rsidRDefault="00AE792B" w:rsidP="000F54BD">
      <w:pPr>
        <w:pStyle w:val="Default"/>
        <w:rPr>
          <w:rFonts w:ascii="TTdcr10" w:hAnsi="TTdcr10" w:cs="TTdcr10"/>
          <w:color w:val="auto"/>
        </w:rPr>
      </w:pPr>
    </w:p>
    <w:p w:rsidR="00AE792B" w:rsidRDefault="00AE792B" w:rsidP="000F54BD">
      <w:pPr>
        <w:pStyle w:val="Default"/>
        <w:rPr>
          <w:rFonts w:ascii="TTdcr10" w:hAnsi="TTdcr10" w:cs="TTdcr10"/>
          <w:color w:val="auto"/>
        </w:rPr>
      </w:pPr>
    </w:p>
    <w:p w:rsidR="00AE792B" w:rsidRDefault="00AE792B" w:rsidP="000F54BD">
      <w:pPr>
        <w:pStyle w:val="Default"/>
        <w:rPr>
          <w:rFonts w:ascii="TTdcr10" w:hAnsi="TTdcr10" w:cs="TTdcr10"/>
          <w:color w:val="auto"/>
        </w:rPr>
      </w:pPr>
    </w:p>
    <w:p w:rsidR="00AE792B" w:rsidRDefault="00AE792B" w:rsidP="000F54BD">
      <w:pPr>
        <w:pStyle w:val="Default"/>
        <w:rPr>
          <w:rFonts w:ascii="TTdcr10" w:hAnsi="TTdcr10" w:cs="TTdcr10"/>
          <w:color w:val="auto"/>
        </w:rPr>
      </w:pPr>
    </w:p>
    <w:p w:rsidR="00AE792B" w:rsidRDefault="00AE792B" w:rsidP="000F54BD">
      <w:pPr>
        <w:pStyle w:val="Default"/>
        <w:rPr>
          <w:rFonts w:ascii="TTdcr10" w:hAnsi="TTdcr10" w:cs="TTdcr10"/>
          <w:color w:val="auto"/>
        </w:rPr>
      </w:pPr>
    </w:p>
    <w:p w:rsidR="00AE792B" w:rsidRDefault="00AE792B" w:rsidP="000F54BD">
      <w:pPr>
        <w:pStyle w:val="Default"/>
        <w:rPr>
          <w:rFonts w:ascii="TTdcr10" w:hAnsi="TTdcr10" w:cs="TTdcr10"/>
          <w:color w:val="auto"/>
        </w:rPr>
      </w:pPr>
    </w:p>
    <w:p w:rsidR="00AE792B" w:rsidRDefault="00AE792B" w:rsidP="000F54BD">
      <w:pPr>
        <w:pStyle w:val="Default"/>
        <w:rPr>
          <w:rFonts w:ascii="TTdcr10" w:hAnsi="TTdcr10" w:cs="TTdcr10"/>
          <w:color w:val="auto"/>
        </w:rPr>
      </w:pPr>
    </w:p>
    <w:p w:rsidR="00AE792B" w:rsidRDefault="00AE792B" w:rsidP="000F54BD">
      <w:pPr>
        <w:pStyle w:val="Default"/>
        <w:rPr>
          <w:rFonts w:ascii="TTdcr10" w:hAnsi="TTdcr10" w:cs="TTdcr10"/>
          <w:color w:val="auto"/>
        </w:rPr>
        <w:sectPr w:rsidR="00AE792B" w:rsidSect="001960B2">
          <w:footnotePr>
            <w:numRestart w:val="eachSect"/>
          </w:footnotePr>
          <w:pgSz w:w="11906" w:h="16838"/>
          <w:pgMar w:top="1440" w:right="1440" w:bottom="1440" w:left="1440" w:header="708" w:footer="708" w:gutter="0"/>
          <w:cols w:space="708"/>
          <w:docGrid w:linePitch="360"/>
        </w:sectPr>
      </w:pPr>
    </w:p>
    <w:p w:rsidR="00530779" w:rsidRPr="00724F7E" w:rsidRDefault="001646B3" w:rsidP="000F54BD">
      <w:pPr>
        <w:rPr>
          <w:sz w:val="24"/>
          <w:szCs w:val="24"/>
        </w:rPr>
      </w:pPr>
      <w:r>
        <w:rPr>
          <w:noProof/>
          <w:sz w:val="24"/>
          <w:szCs w:val="24"/>
          <w:lang w:val="it-IT" w:eastAsia="it-IT"/>
        </w:rPr>
        <w:lastRenderedPageBreak/>
        <w:drawing>
          <wp:inline distT="0" distB="0" distL="0" distR="0" wp14:anchorId="76F98AAF" wp14:editId="5E4A50C3">
            <wp:extent cx="5467350" cy="3993621"/>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68731" cy="3994630"/>
                    </a:xfrm>
                    <a:prstGeom prst="rect">
                      <a:avLst/>
                    </a:prstGeom>
                    <a:noFill/>
                    <a:ln>
                      <a:noFill/>
                    </a:ln>
                  </pic:spPr>
                </pic:pic>
              </a:graphicData>
            </a:graphic>
          </wp:inline>
        </w:drawing>
      </w:r>
      <w:r>
        <w:rPr>
          <w:noProof/>
          <w:sz w:val="24"/>
          <w:szCs w:val="24"/>
          <w:lang w:val="it-IT" w:eastAsia="it-IT"/>
        </w:rPr>
        <w:drawing>
          <wp:inline distT="0" distB="0" distL="0" distR="0" wp14:anchorId="640925F9" wp14:editId="4E02B931">
            <wp:extent cx="5472000" cy="3997019"/>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72000" cy="3997019"/>
                    </a:xfrm>
                    <a:prstGeom prst="rect">
                      <a:avLst/>
                    </a:prstGeom>
                    <a:noFill/>
                    <a:ln>
                      <a:noFill/>
                    </a:ln>
                  </pic:spPr>
                </pic:pic>
              </a:graphicData>
            </a:graphic>
          </wp:inline>
        </w:drawing>
      </w:r>
    </w:p>
    <w:p w:rsidR="00530779" w:rsidRDefault="00AA659A" w:rsidP="000F54BD">
      <w:pPr>
        <w:rPr>
          <w:rFonts w:cs="TTdcr10"/>
          <w:sz w:val="20"/>
          <w:szCs w:val="20"/>
        </w:rPr>
      </w:pPr>
      <w:r>
        <w:rPr>
          <w:rFonts w:cs="TTdcr10"/>
          <w:b/>
          <w:sz w:val="20"/>
          <w:szCs w:val="20"/>
        </w:rPr>
        <w:t>Figure 1</w:t>
      </w:r>
      <w:r w:rsidR="00530779" w:rsidRPr="00724F7E">
        <w:rPr>
          <w:rFonts w:cs="TTdcr10"/>
          <w:b/>
          <w:sz w:val="20"/>
          <w:szCs w:val="20"/>
        </w:rPr>
        <w:t xml:space="preserve">. Individual country 5-year CDS spreads and average proportional bid-ask spreads. </w:t>
      </w:r>
      <w:r w:rsidR="00530779" w:rsidRPr="00724F7E">
        <w:rPr>
          <w:rFonts w:cs="TTdcr10"/>
          <w:sz w:val="20"/>
          <w:szCs w:val="20"/>
        </w:rPr>
        <w:t>This figure shows the daily 5-year CDS spreads and average proportional bid-ask spreads and for each Eurozone country from Aug 2003 to Dec 2013. All values are expressed in basis points and the vertical lines represent major global events.</w:t>
      </w:r>
    </w:p>
    <w:p w:rsidR="00561A65" w:rsidRDefault="00561A65" w:rsidP="00561A65">
      <w:pPr>
        <w:rPr>
          <w:sz w:val="24"/>
          <w:szCs w:val="24"/>
        </w:rPr>
      </w:pPr>
      <w:r w:rsidRPr="00724F7E">
        <w:rPr>
          <w:sz w:val="24"/>
          <w:szCs w:val="24"/>
        </w:rPr>
        <w:lastRenderedPageBreak/>
        <w:t>References</w:t>
      </w:r>
    </w:p>
    <w:p w:rsidR="008D5995" w:rsidRDefault="008D5995" w:rsidP="008D5995">
      <w:pPr>
        <w:pStyle w:val="Nessunaspaziatura"/>
        <w:jc w:val="both"/>
        <w:rPr>
          <w:rFonts w:asciiTheme="majorHAnsi" w:hAnsiTheme="majorHAnsi"/>
          <w:sz w:val="20"/>
          <w:szCs w:val="20"/>
        </w:rPr>
      </w:pPr>
      <w:r w:rsidRPr="008D5995">
        <w:rPr>
          <w:rFonts w:asciiTheme="majorHAnsi" w:hAnsiTheme="majorHAnsi"/>
          <w:sz w:val="20"/>
          <w:szCs w:val="20"/>
        </w:rPr>
        <w:t>Aït-Sahalia</w:t>
      </w:r>
      <w:r>
        <w:rPr>
          <w:rFonts w:asciiTheme="majorHAnsi" w:hAnsiTheme="majorHAnsi"/>
          <w:sz w:val="20"/>
          <w:szCs w:val="20"/>
        </w:rPr>
        <w:t xml:space="preserve">, </w:t>
      </w:r>
      <w:r w:rsidRPr="008D5995">
        <w:rPr>
          <w:rFonts w:asciiTheme="majorHAnsi" w:hAnsiTheme="majorHAnsi"/>
          <w:sz w:val="20"/>
          <w:szCs w:val="20"/>
        </w:rPr>
        <w:t>Y</w:t>
      </w:r>
      <w:r>
        <w:rPr>
          <w:rFonts w:asciiTheme="majorHAnsi" w:hAnsiTheme="majorHAnsi"/>
          <w:sz w:val="20"/>
          <w:szCs w:val="20"/>
        </w:rPr>
        <w:t xml:space="preserve">., </w:t>
      </w:r>
      <w:r w:rsidRPr="008D5995">
        <w:rPr>
          <w:rFonts w:asciiTheme="majorHAnsi" w:hAnsiTheme="majorHAnsi"/>
          <w:sz w:val="20"/>
          <w:szCs w:val="20"/>
        </w:rPr>
        <w:t>Andritzky</w:t>
      </w:r>
      <w:r>
        <w:rPr>
          <w:rFonts w:asciiTheme="majorHAnsi" w:hAnsiTheme="majorHAnsi"/>
          <w:sz w:val="20"/>
          <w:szCs w:val="20"/>
        </w:rPr>
        <w:t>, J.,</w:t>
      </w:r>
      <w:r w:rsidRPr="008D5995">
        <w:rPr>
          <w:rFonts w:asciiTheme="majorHAnsi" w:hAnsiTheme="majorHAnsi"/>
          <w:sz w:val="20"/>
          <w:szCs w:val="20"/>
        </w:rPr>
        <w:t xml:space="preserve"> Jobst</w:t>
      </w:r>
      <w:r>
        <w:rPr>
          <w:rFonts w:asciiTheme="majorHAnsi" w:hAnsiTheme="majorHAnsi"/>
          <w:sz w:val="20"/>
          <w:szCs w:val="20"/>
        </w:rPr>
        <w:t>, A.,</w:t>
      </w:r>
      <w:r w:rsidRPr="008D5995">
        <w:rPr>
          <w:rFonts w:asciiTheme="majorHAnsi" w:hAnsiTheme="majorHAnsi"/>
          <w:sz w:val="20"/>
          <w:szCs w:val="20"/>
        </w:rPr>
        <w:t xml:space="preserve"> Nowak</w:t>
      </w:r>
      <w:r>
        <w:rPr>
          <w:rFonts w:asciiTheme="majorHAnsi" w:hAnsiTheme="majorHAnsi"/>
          <w:sz w:val="20"/>
          <w:szCs w:val="20"/>
        </w:rPr>
        <w:t>, S.,</w:t>
      </w:r>
      <w:r w:rsidRPr="008D5995">
        <w:rPr>
          <w:rFonts w:asciiTheme="majorHAnsi" w:hAnsiTheme="majorHAnsi"/>
          <w:sz w:val="20"/>
          <w:szCs w:val="20"/>
        </w:rPr>
        <w:t xml:space="preserve"> Tamirisa</w:t>
      </w:r>
      <w:r>
        <w:rPr>
          <w:rFonts w:asciiTheme="majorHAnsi" w:hAnsiTheme="majorHAnsi"/>
          <w:sz w:val="20"/>
          <w:szCs w:val="20"/>
        </w:rPr>
        <w:t>, N., (2012) “</w:t>
      </w:r>
      <w:r w:rsidRPr="008D5995">
        <w:rPr>
          <w:rFonts w:asciiTheme="majorHAnsi" w:hAnsiTheme="majorHAnsi"/>
          <w:sz w:val="20"/>
          <w:szCs w:val="20"/>
        </w:rPr>
        <w:t>Market response to policy initiatives during the global ﬁnancial crisis</w:t>
      </w:r>
      <w:r>
        <w:rPr>
          <w:rFonts w:asciiTheme="majorHAnsi" w:hAnsiTheme="majorHAnsi"/>
          <w:sz w:val="20"/>
          <w:szCs w:val="20"/>
        </w:rPr>
        <w:t xml:space="preserve">” </w:t>
      </w:r>
      <w:r w:rsidRPr="008D5995">
        <w:rPr>
          <w:rFonts w:asciiTheme="majorHAnsi" w:hAnsiTheme="majorHAnsi"/>
          <w:i/>
          <w:sz w:val="20"/>
          <w:szCs w:val="20"/>
        </w:rPr>
        <w:t>Journal of International Economics</w:t>
      </w:r>
      <w:r>
        <w:rPr>
          <w:rFonts w:asciiTheme="majorHAnsi" w:hAnsiTheme="majorHAnsi"/>
          <w:sz w:val="20"/>
          <w:szCs w:val="20"/>
        </w:rPr>
        <w:t xml:space="preserve"> (87), 162-177</w:t>
      </w:r>
    </w:p>
    <w:p w:rsidR="008D5995" w:rsidRDefault="008D5995" w:rsidP="008D5995">
      <w:pPr>
        <w:pStyle w:val="Nessunaspaziatura"/>
        <w:jc w:val="both"/>
        <w:rPr>
          <w:rFonts w:asciiTheme="majorHAnsi" w:hAnsiTheme="majorHAnsi"/>
          <w:sz w:val="20"/>
          <w:szCs w:val="20"/>
        </w:rPr>
      </w:pPr>
    </w:p>
    <w:p w:rsidR="00561A65" w:rsidRPr="00724F7E" w:rsidRDefault="00561A65" w:rsidP="00561A65">
      <w:pPr>
        <w:pStyle w:val="Nessunaspaziatura"/>
        <w:jc w:val="both"/>
        <w:rPr>
          <w:rFonts w:asciiTheme="majorHAnsi" w:hAnsiTheme="majorHAnsi"/>
          <w:sz w:val="20"/>
          <w:szCs w:val="20"/>
        </w:rPr>
      </w:pPr>
      <w:r w:rsidRPr="00724F7E">
        <w:rPr>
          <w:rFonts w:asciiTheme="majorHAnsi" w:hAnsiTheme="majorHAnsi"/>
          <w:sz w:val="20"/>
          <w:szCs w:val="20"/>
        </w:rPr>
        <w:t xml:space="preserve">Albanesi, S., and Rindi, B., (2000) “The Quality of the Italian Treasury Bond Market, Asymmetric Information and Transaction Costs” </w:t>
      </w:r>
      <w:r w:rsidRPr="00724F7E">
        <w:rPr>
          <w:rFonts w:asciiTheme="majorHAnsi" w:hAnsiTheme="majorHAnsi"/>
          <w:i/>
          <w:sz w:val="20"/>
          <w:szCs w:val="20"/>
        </w:rPr>
        <w:t>Annales D'economie Et De Statistique</w:t>
      </w:r>
      <w:r w:rsidRPr="00724F7E">
        <w:rPr>
          <w:rFonts w:asciiTheme="majorHAnsi" w:hAnsiTheme="majorHAnsi"/>
          <w:sz w:val="20"/>
          <w:szCs w:val="20"/>
        </w:rPr>
        <w:t xml:space="preserve"> (60), 1-19</w:t>
      </w:r>
    </w:p>
    <w:p w:rsidR="00561A65" w:rsidRPr="00724F7E" w:rsidRDefault="00561A65" w:rsidP="00561A65">
      <w:pPr>
        <w:pStyle w:val="Nessunaspaziatura"/>
        <w:jc w:val="both"/>
        <w:rPr>
          <w:rFonts w:asciiTheme="majorHAnsi" w:hAnsiTheme="majorHAnsi"/>
          <w:sz w:val="20"/>
          <w:szCs w:val="20"/>
        </w:rPr>
      </w:pPr>
    </w:p>
    <w:p w:rsidR="00561A65" w:rsidRPr="00724F7E" w:rsidRDefault="00561A65" w:rsidP="00561A65">
      <w:pPr>
        <w:pStyle w:val="Nessunaspaziatura"/>
        <w:jc w:val="both"/>
        <w:rPr>
          <w:rFonts w:asciiTheme="majorHAnsi" w:hAnsiTheme="majorHAnsi"/>
          <w:sz w:val="20"/>
          <w:szCs w:val="20"/>
        </w:rPr>
      </w:pPr>
      <w:r w:rsidRPr="00724F7E">
        <w:rPr>
          <w:rFonts w:asciiTheme="majorHAnsi" w:hAnsiTheme="majorHAnsi"/>
          <w:sz w:val="20"/>
          <w:szCs w:val="20"/>
        </w:rPr>
        <w:t xml:space="preserve">Amihud, Y., and Mendelson, H., (1991) “Liquidity, maturity, and the yields on U. S. Treasury securities” </w:t>
      </w:r>
      <w:r w:rsidRPr="00724F7E">
        <w:rPr>
          <w:rFonts w:asciiTheme="majorHAnsi" w:hAnsiTheme="majorHAnsi"/>
          <w:i/>
          <w:sz w:val="20"/>
          <w:szCs w:val="20"/>
        </w:rPr>
        <w:t>Journal of Finance</w:t>
      </w:r>
      <w:r w:rsidRPr="00724F7E">
        <w:rPr>
          <w:rFonts w:asciiTheme="majorHAnsi" w:hAnsiTheme="majorHAnsi"/>
          <w:sz w:val="20"/>
          <w:szCs w:val="20"/>
        </w:rPr>
        <w:t xml:space="preserve"> 46(4), 1411–1425</w:t>
      </w:r>
    </w:p>
    <w:p w:rsidR="00561A65" w:rsidRDefault="00561A65" w:rsidP="00561A65">
      <w:pPr>
        <w:autoSpaceDE w:val="0"/>
        <w:autoSpaceDN w:val="0"/>
        <w:adjustRightInd w:val="0"/>
        <w:spacing w:after="0" w:line="240" w:lineRule="auto"/>
        <w:jc w:val="both"/>
        <w:rPr>
          <w:rFonts w:asciiTheme="majorHAnsi" w:hAnsiTheme="majorHAnsi"/>
          <w:sz w:val="20"/>
          <w:szCs w:val="20"/>
        </w:rPr>
      </w:pPr>
    </w:p>
    <w:p w:rsidR="00C33CA3" w:rsidRPr="00724F7E" w:rsidRDefault="00C33CA3" w:rsidP="00C33CA3">
      <w:pPr>
        <w:autoSpaceDE w:val="0"/>
        <w:autoSpaceDN w:val="0"/>
        <w:adjustRightInd w:val="0"/>
        <w:spacing w:after="0" w:line="240" w:lineRule="auto"/>
        <w:rPr>
          <w:rFonts w:asciiTheme="majorHAnsi" w:hAnsiTheme="majorHAnsi"/>
          <w:sz w:val="20"/>
          <w:szCs w:val="20"/>
        </w:rPr>
      </w:pPr>
      <w:r w:rsidRPr="00C33CA3">
        <w:rPr>
          <w:rFonts w:asciiTheme="majorHAnsi" w:hAnsiTheme="majorHAnsi"/>
          <w:sz w:val="20"/>
          <w:szCs w:val="20"/>
        </w:rPr>
        <w:t xml:space="preserve">Andersson, M., Krylova, E., and Vähämaa, S., (2008) “Why does the correlation between stock and bond returns vary over time?” </w:t>
      </w:r>
      <w:r w:rsidRPr="00C33CA3">
        <w:rPr>
          <w:rFonts w:asciiTheme="majorHAnsi" w:hAnsiTheme="majorHAnsi"/>
          <w:i/>
          <w:sz w:val="20"/>
          <w:szCs w:val="20"/>
        </w:rPr>
        <w:t xml:space="preserve">Applied Financial Economics </w:t>
      </w:r>
      <w:r w:rsidRPr="00C33CA3">
        <w:rPr>
          <w:rFonts w:asciiTheme="majorHAnsi" w:hAnsiTheme="majorHAnsi"/>
          <w:sz w:val="20"/>
          <w:szCs w:val="20"/>
        </w:rPr>
        <w:t>18</w:t>
      </w:r>
      <w:r>
        <w:rPr>
          <w:rFonts w:asciiTheme="majorHAnsi" w:hAnsiTheme="majorHAnsi"/>
          <w:sz w:val="20"/>
          <w:szCs w:val="20"/>
        </w:rPr>
        <w:t>(2)</w:t>
      </w:r>
      <w:r w:rsidRPr="00C33CA3">
        <w:rPr>
          <w:rFonts w:asciiTheme="majorHAnsi" w:hAnsiTheme="majorHAnsi"/>
          <w:sz w:val="20"/>
          <w:szCs w:val="20"/>
        </w:rPr>
        <w:t>, 139–151</w:t>
      </w:r>
    </w:p>
    <w:p w:rsidR="00C33CA3" w:rsidRDefault="00C33CA3" w:rsidP="00561A65">
      <w:pPr>
        <w:autoSpaceDE w:val="0"/>
        <w:autoSpaceDN w:val="0"/>
        <w:adjustRightInd w:val="0"/>
        <w:spacing w:after="0" w:line="240" w:lineRule="auto"/>
        <w:jc w:val="both"/>
        <w:rPr>
          <w:rFonts w:asciiTheme="majorHAnsi" w:hAnsiTheme="majorHAnsi"/>
          <w:sz w:val="20"/>
          <w:szCs w:val="20"/>
        </w:rPr>
      </w:pPr>
    </w:p>
    <w:p w:rsidR="00561A65" w:rsidRPr="00724F7E" w:rsidRDefault="00561A65" w:rsidP="00561A65">
      <w:pPr>
        <w:autoSpaceDE w:val="0"/>
        <w:autoSpaceDN w:val="0"/>
        <w:adjustRightInd w:val="0"/>
        <w:spacing w:after="0" w:line="240" w:lineRule="auto"/>
        <w:jc w:val="both"/>
        <w:rPr>
          <w:rFonts w:asciiTheme="majorHAnsi" w:hAnsiTheme="majorHAnsi"/>
          <w:sz w:val="20"/>
          <w:szCs w:val="20"/>
        </w:rPr>
      </w:pPr>
      <w:r w:rsidRPr="00724F7E">
        <w:rPr>
          <w:rFonts w:asciiTheme="majorHAnsi" w:hAnsiTheme="majorHAnsi"/>
          <w:sz w:val="20"/>
          <w:szCs w:val="20"/>
        </w:rPr>
        <w:t xml:space="preserve">Bai, J., Julliard, C., and Yuan, K., (2012) “Eurozone Sovereign Bond Crisis: Liquidity or Fundamental Contagion” </w:t>
      </w:r>
      <w:r w:rsidRPr="00724F7E">
        <w:rPr>
          <w:rFonts w:asciiTheme="majorHAnsi" w:hAnsiTheme="majorHAnsi"/>
          <w:i/>
          <w:sz w:val="20"/>
          <w:szCs w:val="20"/>
        </w:rPr>
        <w:t>Working Paper</w:t>
      </w:r>
    </w:p>
    <w:p w:rsidR="00561A65" w:rsidRPr="00724F7E" w:rsidRDefault="00561A65" w:rsidP="00561A65">
      <w:pPr>
        <w:pStyle w:val="Nessunaspaziatura"/>
        <w:jc w:val="both"/>
        <w:rPr>
          <w:rFonts w:asciiTheme="majorHAnsi" w:hAnsiTheme="majorHAnsi"/>
          <w:sz w:val="20"/>
          <w:szCs w:val="20"/>
        </w:rPr>
      </w:pPr>
    </w:p>
    <w:p w:rsidR="00561A65" w:rsidRPr="00724F7E" w:rsidRDefault="007915C9" w:rsidP="00561A65">
      <w:pPr>
        <w:pStyle w:val="Nessunaspaziatura"/>
        <w:jc w:val="both"/>
        <w:rPr>
          <w:rFonts w:asciiTheme="majorHAnsi" w:hAnsiTheme="majorHAnsi"/>
          <w:i/>
          <w:sz w:val="20"/>
          <w:szCs w:val="20"/>
        </w:rPr>
      </w:pPr>
      <w:r w:rsidRPr="00724F7E">
        <w:rPr>
          <w:rFonts w:asciiTheme="majorHAnsi" w:hAnsiTheme="majorHAnsi"/>
          <w:sz w:val="20"/>
          <w:szCs w:val="20"/>
        </w:rPr>
        <w:t>Baele</w:t>
      </w:r>
      <w:r w:rsidR="00561A65" w:rsidRPr="00724F7E">
        <w:rPr>
          <w:rFonts w:asciiTheme="majorHAnsi" w:hAnsiTheme="majorHAnsi"/>
          <w:sz w:val="20"/>
          <w:szCs w:val="20"/>
        </w:rPr>
        <w:t xml:space="preserve">, L., Ferrando, A., Hördahl, P., Krylova, E., and Monnet, C., (2004) “Measuring financial integration in the euro area” </w:t>
      </w:r>
      <w:r w:rsidR="00561A65" w:rsidRPr="00724F7E">
        <w:rPr>
          <w:rFonts w:asciiTheme="majorHAnsi" w:hAnsiTheme="majorHAnsi"/>
          <w:i/>
          <w:sz w:val="20"/>
          <w:szCs w:val="20"/>
        </w:rPr>
        <w:t>ECB Occasional Paper Series</w:t>
      </w:r>
    </w:p>
    <w:p w:rsidR="00561A65" w:rsidRPr="00724F7E" w:rsidRDefault="00561A65" w:rsidP="00561A65">
      <w:pPr>
        <w:pStyle w:val="Nessunaspaziatura"/>
        <w:jc w:val="both"/>
        <w:rPr>
          <w:rFonts w:asciiTheme="majorHAnsi" w:hAnsiTheme="majorHAnsi"/>
          <w:sz w:val="20"/>
          <w:szCs w:val="20"/>
        </w:rPr>
      </w:pPr>
    </w:p>
    <w:p w:rsidR="00561A65" w:rsidRPr="00724F7E" w:rsidRDefault="00561A65" w:rsidP="00561A65">
      <w:pPr>
        <w:pStyle w:val="Nessunaspaziatura"/>
        <w:jc w:val="both"/>
        <w:rPr>
          <w:rFonts w:asciiTheme="majorHAnsi" w:hAnsiTheme="majorHAnsi"/>
          <w:sz w:val="20"/>
          <w:szCs w:val="20"/>
        </w:rPr>
      </w:pPr>
      <w:r w:rsidRPr="00724F7E">
        <w:rPr>
          <w:rFonts w:asciiTheme="majorHAnsi" w:hAnsiTheme="majorHAnsi"/>
          <w:sz w:val="20"/>
          <w:szCs w:val="20"/>
        </w:rPr>
        <w:t>Baele, L., Bekaert, G., and Inghelbrecht, K., (2010) “The Determinants of Stock and Bond Return Comovements” </w:t>
      </w:r>
      <w:r w:rsidRPr="00724F7E">
        <w:rPr>
          <w:rFonts w:asciiTheme="majorHAnsi" w:hAnsiTheme="majorHAnsi"/>
          <w:i/>
          <w:iCs/>
          <w:sz w:val="20"/>
          <w:szCs w:val="20"/>
        </w:rPr>
        <w:t>Review of Financial Studies</w:t>
      </w:r>
      <w:r w:rsidRPr="00724F7E">
        <w:rPr>
          <w:rFonts w:asciiTheme="majorHAnsi" w:hAnsiTheme="majorHAnsi"/>
          <w:sz w:val="20"/>
          <w:szCs w:val="20"/>
        </w:rPr>
        <w:t>, </w:t>
      </w:r>
      <w:r w:rsidRPr="00724F7E">
        <w:rPr>
          <w:rFonts w:asciiTheme="majorHAnsi" w:hAnsiTheme="majorHAnsi"/>
          <w:i/>
          <w:iCs/>
          <w:sz w:val="20"/>
          <w:szCs w:val="20"/>
        </w:rPr>
        <w:t>23</w:t>
      </w:r>
      <w:r w:rsidRPr="00724F7E">
        <w:rPr>
          <w:rFonts w:asciiTheme="majorHAnsi" w:hAnsiTheme="majorHAnsi"/>
          <w:sz w:val="20"/>
          <w:szCs w:val="20"/>
        </w:rPr>
        <w:t>(6), 2374-2428</w:t>
      </w:r>
    </w:p>
    <w:p w:rsidR="00561A65" w:rsidRPr="00724F7E" w:rsidRDefault="00561A65" w:rsidP="00561A65">
      <w:pPr>
        <w:pStyle w:val="Nessunaspaziatura"/>
        <w:jc w:val="both"/>
        <w:rPr>
          <w:rFonts w:asciiTheme="majorHAnsi" w:hAnsiTheme="majorHAnsi"/>
          <w:sz w:val="20"/>
          <w:szCs w:val="20"/>
        </w:rPr>
      </w:pPr>
    </w:p>
    <w:p w:rsidR="00561A65" w:rsidRPr="00724F7E" w:rsidRDefault="00561A65" w:rsidP="00561A65">
      <w:pPr>
        <w:pStyle w:val="Nessunaspaziatura"/>
        <w:jc w:val="both"/>
        <w:rPr>
          <w:rFonts w:asciiTheme="majorHAnsi" w:hAnsiTheme="majorHAnsi"/>
          <w:sz w:val="20"/>
          <w:szCs w:val="20"/>
        </w:rPr>
      </w:pPr>
      <w:r w:rsidRPr="00724F7E">
        <w:rPr>
          <w:rFonts w:asciiTheme="majorHAnsi" w:hAnsiTheme="majorHAnsi"/>
          <w:sz w:val="20"/>
          <w:szCs w:val="20"/>
        </w:rPr>
        <w:t xml:space="preserve">Beber, A., Brandt, M. W., and Kavajecz, K. A., (2009) “Flight-to-Quality or Flight-to-Liquidity? Evidence from the Euro-Area Bond Market” Review of Financial Studies 22 (3), 925-957 </w:t>
      </w:r>
    </w:p>
    <w:p w:rsidR="00561A65" w:rsidRPr="00724F7E" w:rsidRDefault="00561A65" w:rsidP="00561A65">
      <w:pPr>
        <w:pStyle w:val="Nessunaspaziatura"/>
        <w:jc w:val="both"/>
        <w:rPr>
          <w:rFonts w:asciiTheme="majorHAnsi" w:hAnsiTheme="majorHAnsi"/>
          <w:sz w:val="20"/>
          <w:szCs w:val="20"/>
        </w:rPr>
      </w:pPr>
    </w:p>
    <w:p w:rsidR="00AE6093" w:rsidRDefault="00AE6093" w:rsidP="00561A65">
      <w:pPr>
        <w:pStyle w:val="Nessunaspaziatura"/>
        <w:jc w:val="both"/>
        <w:rPr>
          <w:rFonts w:asciiTheme="majorHAnsi" w:hAnsiTheme="majorHAnsi"/>
          <w:sz w:val="20"/>
          <w:szCs w:val="20"/>
        </w:rPr>
      </w:pPr>
      <w:r w:rsidRPr="00AE6093">
        <w:rPr>
          <w:rFonts w:asciiTheme="majorHAnsi" w:hAnsiTheme="majorHAnsi"/>
          <w:sz w:val="20"/>
          <w:szCs w:val="20"/>
        </w:rPr>
        <w:t xml:space="preserve">Berger, D., Pukthuanthong, K., </w:t>
      </w:r>
      <w:r w:rsidR="00DC36E6">
        <w:rPr>
          <w:rFonts w:asciiTheme="majorHAnsi" w:hAnsiTheme="majorHAnsi"/>
          <w:sz w:val="20"/>
          <w:szCs w:val="20"/>
        </w:rPr>
        <w:t xml:space="preserve">and </w:t>
      </w:r>
      <w:r w:rsidRPr="00AE6093">
        <w:rPr>
          <w:rFonts w:asciiTheme="majorHAnsi" w:hAnsiTheme="majorHAnsi"/>
          <w:sz w:val="20"/>
          <w:szCs w:val="20"/>
        </w:rPr>
        <w:t xml:space="preserve">Yang, J., </w:t>
      </w:r>
      <w:r>
        <w:rPr>
          <w:rFonts w:asciiTheme="majorHAnsi" w:hAnsiTheme="majorHAnsi"/>
          <w:sz w:val="20"/>
          <w:szCs w:val="20"/>
        </w:rPr>
        <w:t>(2011)</w:t>
      </w:r>
      <w:r w:rsidRPr="00AE6093">
        <w:rPr>
          <w:rFonts w:asciiTheme="majorHAnsi" w:hAnsiTheme="majorHAnsi"/>
          <w:sz w:val="20"/>
          <w:szCs w:val="20"/>
        </w:rPr>
        <w:t xml:space="preserve"> </w:t>
      </w:r>
      <w:r>
        <w:rPr>
          <w:rFonts w:asciiTheme="majorHAnsi" w:hAnsiTheme="majorHAnsi"/>
          <w:sz w:val="20"/>
          <w:szCs w:val="20"/>
        </w:rPr>
        <w:t>“</w:t>
      </w:r>
      <w:r w:rsidRPr="00AE6093">
        <w:rPr>
          <w:rFonts w:asciiTheme="majorHAnsi" w:hAnsiTheme="majorHAnsi"/>
          <w:sz w:val="20"/>
          <w:szCs w:val="20"/>
        </w:rPr>
        <w:t>International divers</w:t>
      </w:r>
      <w:r>
        <w:rPr>
          <w:rFonts w:asciiTheme="majorHAnsi" w:hAnsiTheme="majorHAnsi"/>
          <w:sz w:val="20"/>
          <w:szCs w:val="20"/>
        </w:rPr>
        <w:t>ification with frontier markets”</w:t>
      </w:r>
      <w:r w:rsidRPr="00AE6093">
        <w:rPr>
          <w:rFonts w:asciiTheme="majorHAnsi" w:hAnsiTheme="majorHAnsi"/>
          <w:sz w:val="20"/>
          <w:szCs w:val="20"/>
        </w:rPr>
        <w:t xml:space="preserve"> </w:t>
      </w:r>
      <w:r w:rsidRPr="00AE6093">
        <w:rPr>
          <w:rFonts w:asciiTheme="majorHAnsi" w:hAnsiTheme="majorHAnsi"/>
          <w:i/>
          <w:sz w:val="20"/>
          <w:szCs w:val="20"/>
        </w:rPr>
        <w:t>Journal of Financial Economics</w:t>
      </w:r>
      <w:r w:rsidRPr="00AE6093">
        <w:rPr>
          <w:rFonts w:asciiTheme="majorHAnsi" w:hAnsiTheme="majorHAnsi"/>
          <w:sz w:val="20"/>
          <w:szCs w:val="20"/>
        </w:rPr>
        <w:t xml:space="preserve"> 101</w:t>
      </w:r>
      <w:r>
        <w:rPr>
          <w:rFonts w:asciiTheme="majorHAnsi" w:hAnsiTheme="majorHAnsi"/>
          <w:sz w:val="20"/>
          <w:szCs w:val="20"/>
        </w:rPr>
        <w:t>(1)</w:t>
      </w:r>
      <w:r w:rsidRPr="00AE6093">
        <w:rPr>
          <w:rFonts w:asciiTheme="majorHAnsi" w:hAnsiTheme="majorHAnsi"/>
          <w:sz w:val="20"/>
          <w:szCs w:val="20"/>
        </w:rPr>
        <w:t>, 227–242.</w:t>
      </w:r>
    </w:p>
    <w:p w:rsidR="00AE6093" w:rsidRDefault="00AE6093" w:rsidP="00561A65">
      <w:pPr>
        <w:pStyle w:val="Nessunaspaziatura"/>
        <w:jc w:val="both"/>
        <w:rPr>
          <w:rFonts w:asciiTheme="majorHAnsi" w:hAnsiTheme="majorHAnsi"/>
          <w:sz w:val="20"/>
          <w:szCs w:val="20"/>
        </w:rPr>
      </w:pPr>
    </w:p>
    <w:p w:rsidR="00561A65" w:rsidRPr="00724F7E" w:rsidRDefault="00561A65" w:rsidP="00561A65">
      <w:pPr>
        <w:pStyle w:val="Nessunaspaziatura"/>
        <w:jc w:val="both"/>
        <w:rPr>
          <w:rFonts w:asciiTheme="majorHAnsi" w:hAnsiTheme="majorHAnsi"/>
          <w:sz w:val="20"/>
          <w:szCs w:val="20"/>
        </w:rPr>
      </w:pPr>
      <w:r w:rsidRPr="00724F7E">
        <w:rPr>
          <w:rFonts w:asciiTheme="majorHAnsi" w:hAnsiTheme="majorHAnsi"/>
          <w:sz w:val="20"/>
          <w:szCs w:val="20"/>
        </w:rPr>
        <w:t xml:space="preserve">Bernoth, K., von Hagen, J., and Schuknecht, L., (2012) “Sovereign risk premiums in the European government bond market” </w:t>
      </w:r>
      <w:r w:rsidRPr="00724F7E">
        <w:rPr>
          <w:rFonts w:asciiTheme="majorHAnsi" w:hAnsiTheme="majorHAnsi"/>
          <w:i/>
          <w:sz w:val="20"/>
          <w:szCs w:val="20"/>
        </w:rPr>
        <w:t>Journal of International Money and Finance</w:t>
      </w:r>
      <w:r w:rsidRPr="00724F7E">
        <w:rPr>
          <w:rFonts w:asciiTheme="majorHAnsi" w:hAnsiTheme="majorHAnsi"/>
          <w:sz w:val="20"/>
          <w:szCs w:val="20"/>
        </w:rPr>
        <w:t xml:space="preserve"> 31(5), 975–995</w:t>
      </w:r>
    </w:p>
    <w:p w:rsidR="00561A65" w:rsidRPr="00724F7E" w:rsidRDefault="00561A65" w:rsidP="00561A65">
      <w:pPr>
        <w:pStyle w:val="Nessunaspaziatura"/>
        <w:jc w:val="both"/>
        <w:rPr>
          <w:rFonts w:asciiTheme="majorHAnsi" w:hAnsiTheme="majorHAnsi"/>
          <w:sz w:val="20"/>
          <w:szCs w:val="20"/>
        </w:rPr>
      </w:pPr>
    </w:p>
    <w:p w:rsidR="00561A65" w:rsidRPr="00724F7E" w:rsidRDefault="00561A65" w:rsidP="00561A65">
      <w:pPr>
        <w:pStyle w:val="Nessunaspaziatura"/>
        <w:jc w:val="both"/>
        <w:rPr>
          <w:rFonts w:asciiTheme="majorHAnsi" w:hAnsiTheme="majorHAnsi"/>
          <w:sz w:val="20"/>
          <w:szCs w:val="20"/>
        </w:rPr>
      </w:pPr>
      <w:r w:rsidRPr="00724F7E">
        <w:rPr>
          <w:rFonts w:asciiTheme="majorHAnsi" w:hAnsiTheme="majorHAnsi"/>
          <w:sz w:val="20"/>
          <w:szCs w:val="20"/>
        </w:rPr>
        <w:t xml:space="preserve">Blanco, R., Brennan, S., and Marsh, I. W., (2005) “An Empirical Analysis of the Dynamic Relationship between Investment Grade Bonds and Credit Default Swaps” </w:t>
      </w:r>
      <w:r w:rsidRPr="00724F7E">
        <w:rPr>
          <w:rFonts w:asciiTheme="majorHAnsi" w:hAnsiTheme="majorHAnsi"/>
          <w:i/>
          <w:sz w:val="20"/>
          <w:szCs w:val="20"/>
        </w:rPr>
        <w:t>Journal of Finance</w:t>
      </w:r>
      <w:r w:rsidRPr="00724F7E">
        <w:rPr>
          <w:rFonts w:asciiTheme="majorHAnsi" w:hAnsiTheme="majorHAnsi"/>
          <w:sz w:val="20"/>
          <w:szCs w:val="20"/>
        </w:rPr>
        <w:t xml:space="preserve"> 60(5), 2255-2281</w:t>
      </w:r>
    </w:p>
    <w:p w:rsidR="00561A65" w:rsidRPr="00724F7E" w:rsidRDefault="00561A65" w:rsidP="00561A65">
      <w:pPr>
        <w:pStyle w:val="Nessunaspaziatura"/>
        <w:jc w:val="both"/>
        <w:rPr>
          <w:rFonts w:asciiTheme="majorHAnsi" w:hAnsiTheme="majorHAnsi"/>
          <w:sz w:val="20"/>
          <w:szCs w:val="20"/>
        </w:rPr>
      </w:pPr>
    </w:p>
    <w:p w:rsidR="00561A65" w:rsidRPr="00724F7E" w:rsidRDefault="00561A65" w:rsidP="00561A65">
      <w:pPr>
        <w:pStyle w:val="Nessunaspaziatura"/>
        <w:rPr>
          <w:rFonts w:asciiTheme="majorHAnsi" w:hAnsiTheme="majorHAnsi"/>
          <w:sz w:val="20"/>
          <w:szCs w:val="20"/>
        </w:rPr>
      </w:pPr>
      <w:r w:rsidRPr="00724F7E">
        <w:rPr>
          <w:rFonts w:asciiTheme="majorHAnsi" w:hAnsiTheme="majorHAnsi"/>
          <w:sz w:val="20"/>
          <w:szCs w:val="20"/>
        </w:rPr>
        <w:t xml:space="preserve">Bongaerts, D., de Jong, F., and Driessen, J., (2011) “Derivative Pricing with Liquidity Risk: Theory and Evidence from the Credit Default Swap Market” </w:t>
      </w:r>
      <w:r w:rsidRPr="00724F7E">
        <w:rPr>
          <w:rFonts w:asciiTheme="majorHAnsi" w:hAnsiTheme="majorHAnsi"/>
          <w:i/>
          <w:sz w:val="20"/>
          <w:szCs w:val="20"/>
        </w:rPr>
        <w:t>Journal of Finance</w:t>
      </w:r>
      <w:r w:rsidRPr="00724F7E">
        <w:rPr>
          <w:rFonts w:asciiTheme="majorHAnsi" w:hAnsiTheme="majorHAnsi"/>
          <w:sz w:val="20"/>
          <w:szCs w:val="20"/>
        </w:rPr>
        <w:t xml:space="preserve"> 66(1), 203–240</w:t>
      </w:r>
    </w:p>
    <w:p w:rsidR="00561A65" w:rsidRPr="00724F7E" w:rsidRDefault="00561A65" w:rsidP="00561A65">
      <w:pPr>
        <w:pStyle w:val="Nessunaspaziatura"/>
        <w:rPr>
          <w:rFonts w:asciiTheme="majorHAnsi" w:hAnsiTheme="majorHAnsi"/>
          <w:sz w:val="20"/>
          <w:szCs w:val="20"/>
        </w:rPr>
      </w:pPr>
    </w:p>
    <w:p w:rsidR="00561A65" w:rsidRPr="00724F7E" w:rsidRDefault="00561A65" w:rsidP="00561A65">
      <w:pPr>
        <w:pStyle w:val="Nessunaspaziatura"/>
        <w:jc w:val="both"/>
        <w:rPr>
          <w:rFonts w:asciiTheme="majorHAnsi" w:hAnsiTheme="majorHAnsi"/>
          <w:sz w:val="20"/>
          <w:szCs w:val="20"/>
        </w:rPr>
      </w:pPr>
      <w:r w:rsidRPr="00724F7E">
        <w:rPr>
          <w:rFonts w:asciiTheme="majorHAnsi" w:hAnsiTheme="majorHAnsi"/>
          <w:sz w:val="20"/>
          <w:szCs w:val="20"/>
        </w:rPr>
        <w:t xml:space="preserve">Boudoukh, J., and Whitelaw, R. F., (1991) “The benchmark effect in the Japanese government bond market” </w:t>
      </w:r>
      <w:r w:rsidRPr="00724F7E">
        <w:rPr>
          <w:rFonts w:asciiTheme="majorHAnsi" w:hAnsiTheme="majorHAnsi"/>
          <w:i/>
          <w:sz w:val="20"/>
          <w:szCs w:val="20"/>
        </w:rPr>
        <w:t>Journal of Fixed Income</w:t>
      </w:r>
      <w:r w:rsidRPr="00724F7E">
        <w:rPr>
          <w:rFonts w:asciiTheme="majorHAnsi" w:hAnsiTheme="majorHAnsi"/>
          <w:sz w:val="20"/>
          <w:szCs w:val="20"/>
        </w:rPr>
        <w:t xml:space="preserve"> 1(2), 52–59</w:t>
      </w:r>
    </w:p>
    <w:p w:rsidR="00561A65" w:rsidRPr="00724F7E" w:rsidRDefault="00561A65" w:rsidP="00561A65">
      <w:pPr>
        <w:pStyle w:val="Nessunaspaziatura"/>
        <w:jc w:val="both"/>
        <w:rPr>
          <w:rFonts w:asciiTheme="majorHAnsi" w:hAnsiTheme="majorHAnsi"/>
          <w:sz w:val="20"/>
          <w:szCs w:val="20"/>
        </w:rPr>
      </w:pPr>
    </w:p>
    <w:p w:rsidR="00561A65" w:rsidRPr="00724F7E" w:rsidRDefault="00561A65" w:rsidP="00561A65">
      <w:pPr>
        <w:pStyle w:val="Nessunaspaziatura"/>
        <w:jc w:val="both"/>
        <w:rPr>
          <w:rFonts w:asciiTheme="majorHAnsi" w:hAnsiTheme="majorHAnsi"/>
          <w:sz w:val="20"/>
          <w:szCs w:val="20"/>
        </w:rPr>
      </w:pPr>
      <w:r w:rsidRPr="00724F7E">
        <w:rPr>
          <w:rFonts w:asciiTheme="majorHAnsi" w:hAnsiTheme="majorHAnsi"/>
          <w:sz w:val="20"/>
          <w:szCs w:val="20"/>
        </w:rPr>
        <w:t xml:space="preserve">Boudoukh, J., and Whitelaw, R. F., (1993) “Liquidity as a choice variable: a lesson from the Japanese government bond market” </w:t>
      </w:r>
      <w:r w:rsidRPr="00724F7E">
        <w:rPr>
          <w:rFonts w:asciiTheme="majorHAnsi" w:hAnsiTheme="majorHAnsi"/>
          <w:i/>
          <w:sz w:val="20"/>
          <w:szCs w:val="20"/>
        </w:rPr>
        <w:t>Review of Financial Studies</w:t>
      </w:r>
      <w:r w:rsidRPr="00724F7E">
        <w:rPr>
          <w:rFonts w:asciiTheme="majorHAnsi" w:hAnsiTheme="majorHAnsi"/>
          <w:sz w:val="20"/>
          <w:szCs w:val="20"/>
        </w:rPr>
        <w:t xml:space="preserve"> 6(2), 265-292</w:t>
      </w:r>
    </w:p>
    <w:p w:rsidR="00561A65" w:rsidRPr="00724F7E" w:rsidRDefault="00561A65" w:rsidP="00561A65">
      <w:pPr>
        <w:pStyle w:val="Nessunaspaziatura"/>
        <w:jc w:val="both"/>
        <w:rPr>
          <w:rFonts w:asciiTheme="majorHAnsi" w:hAnsiTheme="majorHAnsi"/>
          <w:sz w:val="20"/>
          <w:szCs w:val="20"/>
        </w:rPr>
      </w:pPr>
    </w:p>
    <w:p w:rsidR="00561A65" w:rsidRPr="00724F7E" w:rsidRDefault="00561A65" w:rsidP="00561A65">
      <w:pPr>
        <w:pStyle w:val="Nessunaspaziatura"/>
        <w:jc w:val="both"/>
        <w:rPr>
          <w:rFonts w:asciiTheme="majorHAnsi" w:hAnsiTheme="majorHAnsi"/>
          <w:sz w:val="20"/>
          <w:szCs w:val="20"/>
        </w:rPr>
      </w:pPr>
      <w:r w:rsidRPr="00724F7E">
        <w:rPr>
          <w:rFonts w:asciiTheme="majorHAnsi" w:hAnsiTheme="majorHAnsi"/>
          <w:sz w:val="20"/>
          <w:szCs w:val="20"/>
        </w:rPr>
        <w:t xml:space="preserve">Brandt, M. W. and Kavajecz, K. A., (2004) “Price discovery in the U.S. Treasury market: The impact of orderflow and liquidity on the yield curve” </w:t>
      </w:r>
      <w:r w:rsidRPr="00724F7E">
        <w:rPr>
          <w:rFonts w:asciiTheme="majorHAnsi" w:hAnsiTheme="majorHAnsi"/>
          <w:i/>
          <w:sz w:val="20"/>
          <w:szCs w:val="20"/>
        </w:rPr>
        <w:t>Journal of Finance</w:t>
      </w:r>
      <w:r w:rsidRPr="00724F7E">
        <w:rPr>
          <w:rFonts w:asciiTheme="majorHAnsi" w:hAnsiTheme="majorHAnsi"/>
          <w:sz w:val="20"/>
          <w:szCs w:val="20"/>
        </w:rPr>
        <w:t xml:space="preserve"> 59(6), 2623-2654</w:t>
      </w:r>
    </w:p>
    <w:p w:rsidR="00561A65" w:rsidRPr="00724F7E" w:rsidRDefault="00561A65" w:rsidP="00561A65">
      <w:pPr>
        <w:pStyle w:val="Nessunaspaziatura"/>
        <w:jc w:val="both"/>
        <w:rPr>
          <w:rFonts w:asciiTheme="majorHAnsi" w:hAnsiTheme="majorHAnsi"/>
          <w:sz w:val="20"/>
          <w:szCs w:val="20"/>
        </w:rPr>
      </w:pPr>
    </w:p>
    <w:p w:rsidR="00A56DA9" w:rsidRDefault="00A56DA9" w:rsidP="00A56DA9">
      <w:pPr>
        <w:pStyle w:val="Nessunaspaziatura"/>
        <w:jc w:val="both"/>
        <w:rPr>
          <w:rFonts w:asciiTheme="majorHAnsi" w:hAnsiTheme="majorHAnsi"/>
          <w:sz w:val="20"/>
          <w:szCs w:val="20"/>
        </w:rPr>
      </w:pPr>
      <w:r w:rsidRPr="00A56DA9">
        <w:rPr>
          <w:rFonts w:asciiTheme="majorHAnsi" w:hAnsiTheme="majorHAnsi"/>
          <w:sz w:val="20"/>
          <w:szCs w:val="20"/>
        </w:rPr>
        <w:t>Caporale</w:t>
      </w:r>
      <w:r>
        <w:rPr>
          <w:rFonts w:asciiTheme="majorHAnsi" w:hAnsiTheme="majorHAnsi"/>
          <w:sz w:val="20"/>
          <w:szCs w:val="20"/>
        </w:rPr>
        <w:t>, G</w:t>
      </w:r>
      <w:r w:rsidRPr="00724F7E">
        <w:rPr>
          <w:rFonts w:asciiTheme="majorHAnsi" w:hAnsiTheme="majorHAnsi"/>
          <w:sz w:val="20"/>
          <w:szCs w:val="20"/>
        </w:rPr>
        <w:t>.</w:t>
      </w:r>
      <w:r>
        <w:rPr>
          <w:rFonts w:asciiTheme="majorHAnsi" w:hAnsiTheme="majorHAnsi"/>
          <w:sz w:val="20"/>
          <w:szCs w:val="20"/>
        </w:rPr>
        <w:t xml:space="preserve"> M.</w:t>
      </w:r>
      <w:r w:rsidRPr="00724F7E">
        <w:rPr>
          <w:rFonts w:asciiTheme="majorHAnsi" w:hAnsiTheme="majorHAnsi"/>
          <w:sz w:val="20"/>
          <w:szCs w:val="20"/>
        </w:rPr>
        <w:t xml:space="preserve">, </w:t>
      </w:r>
      <w:r>
        <w:rPr>
          <w:rFonts w:asciiTheme="majorHAnsi" w:hAnsiTheme="majorHAnsi"/>
          <w:sz w:val="20"/>
          <w:szCs w:val="20"/>
        </w:rPr>
        <w:t xml:space="preserve">and </w:t>
      </w:r>
      <w:r w:rsidRPr="00A56DA9">
        <w:rPr>
          <w:rFonts w:asciiTheme="majorHAnsi" w:hAnsiTheme="majorHAnsi"/>
          <w:sz w:val="20"/>
          <w:szCs w:val="20"/>
        </w:rPr>
        <w:t>Girardi</w:t>
      </w:r>
      <w:r w:rsidRPr="00724F7E">
        <w:rPr>
          <w:rFonts w:asciiTheme="majorHAnsi" w:hAnsiTheme="majorHAnsi"/>
          <w:sz w:val="20"/>
          <w:szCs w:val="20"/>
        </w:rPr>
        <w:t xml:space="preserve">, A., </w:t>
      </w:r>
      <w:r>
        <w:rPr>
          <w:rFonts w:asciiTheme="majorHAnsi" w:hAnsiTheme="majorHAnsi"/>
          <w:sz w:val="20"/>
          <w:szCs w:val="20"/>
        </w:rPr>
        <w:t>(20</w:t>
      </w:r>
      <w:r w:rsidR="00114F6A">
        <w:rPr>
          <w:rFonts w:asciiTheme="majorHAnsi" w:hAnsiTheme="majorHAnsi"/>
          <w:sz w:val="20"/>
          <w:szCs w:val="20"/>
        </w:rPr>
        <w:t>13</w:t>
      </w:r>
      <w:r w:rsidRPr="00724F7E">
        <w:rPr>
          <w:rFonts w:asciiTheme="majorHAnsi" w:hAnsiTheme="majorHAnsi"/>
          <w:sz w:val="20"/>
          <w:szCs w:val="20"/>
        </w:rPr>
        <w:t>) “</w:t>
      </w:r>
      <w:r w:rsidRPr="00A56DA9">
        <w:rPr>
          <w:rFonts w:asciiTheme="majorHAnsi" w:hAnsiTheme="majorHAnsi"/>
          <w:sz w:val="20"/>
          <w:szCs w:val="20"/>
        </w:rPr>
        <w:t>Price discovery and trade fragmentation in a multi-market environment: Evidence from the MTS system</w:t>
      </w:r>
      <w:r w:rsidRPr="00724F7E">
        <w:rPr>
          <w:rFonts w:asciiTheme="majorHAnsi" w:hAnsiTheme="majorHAnsi"/>
          <w:sz w:val="20"/>
          <w:szCs w:val="20"/>
        </w:rPr>
        <w:t xml:space="preserve">” </w:t>
      </w:r>
      <w:r w:rsidRPr="00724F7E">
        <w:rPr>
          <w:rFonts w:asciiTheme="majorHAnsi" w:hAnsiTheme="majorHAnsi"/>
          <w:i/>
          <w:sz w:val="20"/>
          <w:szCs w:val="20"/>
        </w:rPr>
        <w:t>Journal of Banking &amp; Finance</w:t>
      </w:r>
      <w:r>
        <w:rPr>
          <w:rFonts w:asciiTheme="majorHAnsi" w:hAnsiTheme="majorHAnsi"/>
          <w:sz w:val="20"/>
          <w:szCs w:val="20"/>
        </w:rPr>
        <w:t xml:space="preserve"> 37(2</w:t>
      </w:r>
      <w:r w:rsidRPr="00724F7E">
        <w:rPr>
          <w:rFonts w:asciiTheme="majorHAnsi" w:hAnsiTheme="majorHAnsi"/>
          <w:sz w:val="20"/>
          <w:szCs w:val="20"/>
        </w:rPr>
        <w:t xml:space="preserve">), </w:t>
      </w:r>
      <w:r w:rsidRPr="00A56DA9">
        <w:rPr>
          <w:rFonts w:asciiTheme="majorHAnsi" w:hAnsiTheme="majorHAnsi"/>
          <w:sz w:val="20"/>
          <w:szCs w:val="20"/>
        </w:rPr>
        <w:t>227–240</w:t>
      </w:r>
    </w:p>
    <w:p w:rsidR="00114F6A" w:rsidRDefault="00114F6A" w:rsidP="00A56DA9">
      <w:pPr>
        <w:pStyle w:val="Nessunaspaziatura"/>
        <w:jc w:val="both"/>
        <w:rPr>
          <w:rFonts w:asciiTheme="majorHAnsi" w:hAnsiTheme="majorHAnsi"/>
          <w:sz w:val="20"/>
          <w:szCs w:val="20"/>
        </w:rPr>
      </w:pPr>
    </w:p>
    <w:p w:rsidR="00114F6A" w:rsidRPr="00724F7E" w:rsidRDefault="00114F6A" w:rsidP="00A56DA9">
      <w:pPr>
        <w:pStyle w:val="Nessunaspaziatura"/>
        <w:jc w:val="both"/>
        <w:rPr>
          <w:rFonts w:asciiTheme="majorHAnsi" w:hAnsiTheme="majorHAnsi"/>
          <w:sz w:val="20"/>
          <w:szCs w:val="20"/>
        </w:rPr>
      </w:pPr>
      <w:r w:rsidRPr="00A56DA9">
        <w:rPr>
          <w:rFonts w:asciiTheme="majorHAnsi" w:hAnsiTheme="majorHAnsi"/>
          <w:sz w:val="20"/>
          <w:szCs w:val="20"/>
        </w:rPr>
        <w:t>Caporale</w:t>
      </w:r>
      <w:r>
        <w:rPr>
          <w:rFonts w:asciiTheme="majorHAnsi" w:hAnsiTheme="majorHAnsi"/>
          <w:sz w:val="20"/>
          <w:szCs w:val="20"/>
        </w:rPr>
        <w:t>, G</w:t>
      </w:r>
      <w:r w:rsidRPr="00724F7E">
        <w:rPr>
          <w:rFonts w:asciiTheme="majorHAnsi" w:hAnsiTheme="majorHAnsi"/>
          <w:sz w:val="20"/>
          <w:szCs w:val="20"/>
        </w:rPr>
        <w:t>.</w:t>
      </w:r>
      <w:r>
        <w:rPr>
          <w:rFonts w:asciiTheme="majorHAnsi" w:hAnsiTheme="majorHAnsi"/>
          <w:sz w:val="20"/>
          <w:szCs w:val="20"/>
        </w:rPr>
        <w:t xml:space="preserve"> M., </w:t>
      </w:r>
      <w:r w:rsidRPr="00A56DA9">
        <w:rPr>
          <w:rFonts w:asciiTheme="majorHAnsi" w:hAnsiTheme="majorHAnsi"/>
          <w:sz w:val="20"/>
          <w:szCs w:val="20"/>
        </w:rPr>
        <w:t>Girardi</w:t>
      </w:r>
      <w:r w:rsidRPr="00724F7E">
        <w:rPr>
          <w:rFonts w:asciiTheme="majorHAnsi" w:hAnsiTheme="majorHAnsi"/>
          <w:sz w:val="20"/>
          <w:szCs w:val="20"/>
        </w:rPr>
        <w:t>, A.,</w:t>
      </w:r>
      <w:r>
        <w:rPr>
          <w:rFonts w:asciiTheme="majorHAnsi" w:hAnsiTheme="majorHAnsi"/>
          <w:sz w:val="20"/>
          <w:szCs w:val="20"/>
        </w:rPr>
        <w:t xml:space="preserve"> and </w:t>
      </w:r>
      <w:r w:rsidRPr="00114F6A">
        <w:rPr>
          <w:rFonts w:asciiTheme="majorHAnsi" w:hAnsiTheme="majorHAnsi"/>
          <w:sz w:val="20"/>
          <w:szCs w:val="20"/>
        </w:rPr>
        <w:t>Paesani, P.,</w:t>
      </w:r>
      <w:r w:rsidRPr="00724F7E">
        <w:rPr>
          <w:rFonts w:asciiTheme="majorHAnsi" w:hAnsiTheme="majorHAnsi"/>
          <w:sz w:val="20"/>
          <w:szCs w:val="20"/>
        </w:rPr>
        <w:t xml:space="preserve"> </w:t>
      </w:r>
      <w:r w:rsidR="007915C9">
        <w:rPr>
          <w:rFonts w:asciiTheme="majorHAnsi" w:hAnsiTheme="majorHAnsi"/>
          <w:sz w:val="20"/>
          <w:szCs w:val="20"/>
        </w:rPr>
        <w:t>(20</w:t>
      </w:r>
      <w:r>
        <w:rPr>
          <w:rFonts w:asciiTheme="majorHAnsi" w:hAnsiTheme="majorHAnsi"/>
          <w:sz w:val="20"/>
          <w:szCs w:val="20"/>
        </w:rPr>
        <w:t>12</w:t>
      </w:r>
      <w:r w:rsidRPr="00724F7E">
        <w:rPr>
          <w:rFonts w:asciiTheme="majorHAnsi" w:hAnsiTheme="majorHAnsi"/>
          <w:sz w:val="20"/>
          <w:szCs w:val="20"/>
        </w:rPr>
        <w:t>) “</w:t>
      </w:r>
      <w:r w:rsidRPr="00114F6A">
        <w:rPr>
          <w:rFonts w:asciiTheme="majorHAnsi" w:hAnsiTheme="majorHAnsi"/>
          <w:sz w:val="20"/>
          <w:szCs w:val="20"/>
        </w:rPr>
        <w:t>Quoted spreads and trade imbalance dynamics in the European Treasury bond market</w:t>
      </w:r>
      <w:r>
        <w:rPr>
          <w:rFonts w:asciiTheme="majorHAnsi" w:hAnsiTheme="majorHAnsi"/>
          <w:sz w:val="20"/>
          <w:szCs w:val="20"/>
        </w:rPr>
        <w:t xml:space="preserve">” </w:t>
      </w:r>
      <w:r w:rsidRPr="00114F6A">
        <w:rPr>
          <w:rFonts w:asciiTheme="majorHAnsi" w:hAnsiTheme="majorHAnsi"/>
          <w:i/>
          <w:sz w:val="20"/>
          <w:szCs w:val="20"/>
        </w:rPr>
        <w:t>The Quarterly Review of Economics and Finance</w:t>
      </w:r>
      <w:r>
        <w:rPr>
          <w:rFonts w:ascii="OneGulliverA" w:hAnsi="OneGulliverA" w:cs="OneGulliverA"/>
          <w:sz w:val="28"/>
          <w:szCs w:val="28"/>
        </w:rPr>
        <w:t xml:space="preserve"> </w:t>
      </w:r>
      <w:r>
        <w:rPr>
          <w:rFonts w:asciiTheme="majorHAnsi" w:hAnsiTheme="majorHAnsi"/>
          <w:sz w:val="20"/>
          <w:szCs w:val="20"/>
        </w:rPr>
        <w:t>52(2</w:t>
      </w:r>
      <w:r w:rsidRPr="00724F7E">
        <w:rPr>
          <w:rFonts w:asciiTheme="majorHAnsi" w:hAnsiTheme="majorHAnsi"/>
          <w:sz w:val="20"/>
          <w:szCs w:val="20"/>
        </w:rPr>
        <w:t xml:space="preserve">), </w:t>
      </w:r>
      <w:r w:rsidRPr="00114F6A">
        <w:rPr>
          <w:rFonts w:asciiTheme="majorHAnsi" w:hAnsiTheme="majorHAnsi"/>
          <w:sz w:val="20"/>
          <w:szCs w:val="20"/>
        </w:rPr>
        <w:t>173– 182</w:t>
      </w:r>
    </w:p>
    <w:p w:rsidR="004652E9" w:rsidRDefault="004652E9" w:rsidP="004652E9">
      <w:pPr>
        <w:pStyle w:val="Nessunaspaziatura"/>
        <w:rPr>
          <w:rFonts w:asciiTheme="majorHAnsi" w:hAnsiTheme="majorHAnsi"/>
          <w:sz w:val="20"/>
          <w:szCs w:val="20"/>
        </w:rPr>
      </w:pPr>
    </w:p>
    <w:p w:rsidR="006233D8" w:rsidRPr="004652E9" w:rsidRDefault="006233D8" w:rsidP="004652E9">
      <w:pPr>
        <w:pStyle w:val="Nessunaspaziatura"/>
        <w:rPr>
          <w:rFonts w:asciiTheme="majorHAnsi" w:hAnsiTheme="majorHAnsi"/>
          <w:sz w:val="20"/>
          <w:szCs w:val="20"/>
        </w:rPr>
      </w:pPr>
      <w:r w:rsidRPr="004652E9">
        <w:rPr>
          <w:rFonts w:asciiTheme="majorHAnsi" w:hAnsiTheme="majorHAnsi"/>
          <w:sz w:val="20"/>
          <w:szCs w:val="20"/>
        </w:rPr>
        <w:t>Cappiello</w:t>
      </w:r>
      <w:r w:rsidR="004652E9" w:rsidRPr="004652E9">
        <w:rPr>
          <w:rFonts w:asciiTheme="majorHAnsi" w:hAnsiTheme="majorHAnsi"/>
          <w:sz w:val="20"/>
          <w:szCs w:val="20"/>
        </w:rPr>
        <w:t xml:space="preserve">, L., Engle, R. F., and </w:t>
      </w:r>
      <w:hyperlink r:id="rId12" w:tgtFrame="_blank" w:tooltip="View other papers by this author" w:history="1">
        <w:r w:rsidR="004652E9" w:rsidRPr="004652E9">
          <w:rPr>
            <w:rFonts w:asciiTheme="majorHAnsi" w:hAnsiTheme="majorHAnsi"/>
            <w:sz w:val="20"/>
            <w:szCs w:val="20"/>
          </w:rPr>
          <w:t xml:space="preserve">Sheppard, K., </w:t>
        </w:r>
      </w:hyperlink>
      <w:r w:rsidRPr="004652E9">
        <w:rPr>
          <w:rFonts w:asciiTheme="majorHAnsi" w:hAnsiTheme="majorHAnsi"/>
          <w:sz w:val="20"/>
          <w:szCs w:val="20"/>
        </w:rPr>
        <w:t>(2006) “Asymmetric Dynamics in the Correlations of Global Equity and Bond Returns” Journal of Financial Econometrics 4(4), 537–572</w:t>
      </w:r>
    </w:p>
    <w:p w:rsidR="006233D8" w:rsidRPr="00724F7E" w:rsidRDefault="006233D8" w:rsidP="00561A65">
      <w:pPr>
        <w:pStyle w:val="Nessunaspaziatura"/>
        <w:jc w:val="both"/>
        <w:rPr>
          <w:rFonts w:asciiTheme="majorHAnsi" w:hAnsiTheme="majorHAnsi"/>
          <w:sz w:val="20"/>
          <w:szCs w:val="20"/>
        </w:rPr>
      </w:pPr>
    </w:p>
    <w:p w:rsidR="00561A65" w:rsidRPr="00724F7E" w:rsidRDefault="00561A65" w:rsidP="00561A65">
      <w:pPr>
        <w:pStyle w:val="Nessunaspaziatura"/>
        <w:jc w:val="both"/>
        <w:rPr>
          <w:rFonts w:asciiTheme="majorHAnsi" w:hAnsiTheme="majorHAnsi"/>
          <w:sz w:val="20"/>
          <w:szCs w:val="20"/>
        </w:rPr>
      </w:pPr>
      <w:r w:rsidRPr="00724F7E">
        <w:rPr>
          <w:rFonts w:asciiTheme="majorHAnsi" w:hAnsiTheme="majorHAnsi"/>
          <w:sz w:val="20"/>
          <w:szCs w:val="20"/>
        </w:rPr>
        <w:t xml:space="preserve">Campbell, J. and Ammer, J., (1993) ‘‘What Moves the Stock and Bond Markets? A Variance-Decomposition for Long-Term Asset Returns’’ </w:t>
      </w:r>
      <w:r w:rsidRPr="00724F7E">
        <w:rPr>
          <w:rFonts w:asciiTheme="majorHAnsi" w:hAnsiTheme="majorHAnsi"/>
          <w:i/>
          <w:sz w:val="20"/>
          <w:szCs w:val="20"/>
        </w:rPr>
        <w:t>Journal of Finance</w:t>
      </w:r>
      <w:r w:rsidRPr="00724F7E">
        <w:rPr>
          <w:rFonts w:asciiTheme="majorHAnsi" w:hAnsiTheme="majorHAnsi"/>
          <w:sz w:val="20"/>
          <w:szCs w:val="20"/>
        </w:rPr>
        <w:t xml:space="preserve"> 48(1), 3-37</w:t>
      </w:r>
    </w:p>
    <w:p w:rsidR="00561A65" w:rsidRPr="00724F7E" w:rsidRDefault="00561A65" w:rsidP="00561A65">
      <w:pPr>
        <w:pStyle w:val="Nessunaspaziatura"/>
        <w:jc w:val="both"/>
        <w:rPr>
          <w:rFonts w:asciiTheme="majorHAnsi" w:hAnsiTheme="majorHAnsi"/>
          <w:sz w:val="20"/>
          <w:szCs w:val="20"/>
        </w:rPr>
      </w:pPr>
    </w:p>
    <w:p w:rsidR="00561A65" w:rsidRPr="00724F7E" w:rsidRDefault="00561A65" w:rsidP="00561A65">
      <w:pPr>
        <w:pStyle w:val="Nessunaspaziatura"/>
        <w:jc w:val="both"/>
        <w:rPr>
          <w:rFonts w:asciiTheme="majorHAnsi" w:hAnsiTheme="majorHAnsi" w:cs="TimesNewRomanPS"/>
          <w:sz w:val="20"/>
          <w:szCs w:val="20"/>
        </w:rPr>
      </w:pPr>
      <w:r w:rsidRPr="00724F7E">
        <w:rPr>
          <w:rFonts w:asciiTheme="majorHAnsi" w:hAnsiTheme="majorHAnsi" w:cs="TimesNewRomanPS"/>
          <w:sz w:val="20"/>
          <w:szCs w:val="20"/>
        </w:rPr>
        <w:lastRenderedPageBreak/>
        <w:t>Chen, R., Cheng, X., and Wu, L., (2013) “Dynamic Interactions between Interest-Rate and Credit Risk: Theory and Evidence on the Credit Default Swap Term Structure” </w:t>
      </w:r>
      <w:r w:rsidRPr="00724F7E">
        <w:rPr>
          <w:rFonts w:asciiTheme="majorHAnsi" w:hAnsiTheme="majorHAnsi" w:cs="TimesNewRomanPS"/>
          <w:i/>
          <w:iCs/>
          <w:sz w:val="20"/>
          <w:szCs w:val="20"/>
        </w:rPr>
        <w:t>Review of Finance</w:t>
      </w:r>
      <w:r w:rsidRPr="00724F7E">
        <w:rPr>
          <w:rFonts w:asciiTheme="majorHAnsi" w:hAnsiTheme="majorHAnsi" w:cs="TimesNewRomanPS"/>
          <w:sz w:val="20"/>
          <w:szCs w:val="20"/>
        </w:rPr>
        <w:t> </w:t>
      </w:r>
      <w:r w:rsidRPr="00724F7E">
        <w:rPr>
          <w:rFonts w:asciiTheme="majorHAnsi" w:hAnsiTheme="majorHAnsi" w:cs="TimesNewRomanPS"/>
          <w:iCs/>
          <w:sz w:val="20"/>
          <w:szCs w:val="20"/>
        </w:rPr>
        <w:t>17</w:t>
      </w:r>
      <w:r w:rsidRPr="00724F7E">
        <w:rPr>
          <w:rFonts w:asciiTheme="majorHAnsi" w:hAnsiTheme="majorHAnsi" w:cs="TimesNewRomanPS"/>
          <w:sz w:val="20"/>
          <w:szCs w:val="20"/>
        </w:rPr>
        <w:t>(1), 403-441</w:t>
      </w:r>
    </w:p>
    <w:p w:rsidR="00561A65" w:rsidRPr="00724F7E" w:rsidRDefault="00561A65" w:rsidP="00561A65">
      <w:pPr>
        <w:pStyle w:val="Nessunaspaziatura"/>
        <w:jc w:val="both"/>
        <w:rPr>
          <w:rFonts w:asciiTheme="majorHAnsi" w:hAnsiTheme="majorHAnsi" w:cs="TimesNewRomanPS"/>
          <w:sz w:val="20"/>
          <w:szCs w:val="20"/>
        </w:rPr>
      </w:pPr>
    </w:p>
    <w:p w:rsidR="00561A65" w:rsidRDefault="00561A65" w:rsidP="00561A65">
      <w:pPr>
        <w:pStyle w:val="Nessunaspaziatura"/>
        <w:jc w:val="both"/>
        <w:rPr>
          <w:rFonts w:asciiTheme="majorHAnsi" w:hAnsiTheme="majorHAnsi" w:cs="TimesNewRomanPS"/>
          <w:i/>
          <w:sz w:val="20"/>
          <w:szCs w:val="20"/>
        </w:rPr>
      </w:pPr>
      <w:r w:rsidRPr="00724F7E">
        <w:rPr>
          <w:rFonts w:asciiTheme="majorHAnsi" w:hAnsiTheme="majorHAnsi" w:cs="TimesNewRomanPS"/>
          <w:sz w:val="20"/>
          <w:szCs w:val="20"/>
        </w:rPr>
        <w:t xml:space="preserve">Cheung, Y., de Jong, F., and Rindi, B., (2005) “Trading European sovereign bonds - The microstructure of the MTS trading platforms” </w:t>
      </w:r>
      <w:r w:rsidRPr="00724F7E">
        <w:rPr>
          <w:rFonts w:asciiTheme="majorHAnsi" w:hAnsiTheme="majorHAnsi" w:cs="TimesNewRomanPS"/>
          <w:i/>
          <w:sz w:val="20"/>
          <w:szCs w:val="20"/>
        </w:rPr>
        <w:t>ECB Working Paper</w:t>
      </w:r>
    </w:p>
    <w:p w:rsidR="00561A65" w:rsidRPr="00724F7E" w:rsidRDefault="00561A65" w:rsidP="00561A65">
      <w:pPr>
        <w:pStyle w:val="Nessunaspaziatura"/>
        <w:jc w:val="both"/>
        <w:rPr>
          <w:rFonts w:asciiTheme="majorHAnsi" w:hAnsiTheme="majorHAnsi" w:cs="TimesNewRomanPS"/>
          <w:sz w:val="20"/>
          <w:szCs w:val="20"/>
        </w:rPr>
      </w:pPr>
      <w:r w:rsidRPr="00C17B38">
        <w:rPr>
          <w:rFonts w:asciiTheme="majorHAnsi" w:hAnsiTheme="majorHAnsi" w:cs="TimesNewRomanPS"/>
          <w:sz w:val="20"/>
          <w:szCs w:val="20"/>
        </w:rPr>
        <w:t>https://www.ecb.europa.eu/pub/pdf/scpwps/ecbwp432.pdf</w:t>
      </w:r>
    </w:p>
    <w:p w:rsidR="00561A65" w:rsidRPr="00724F7E" w:rsidRDefault="00561A65" w:rsidP="00561A65">
      <w:pPr>
        <w:pStyle w:val="Nessunaspaziatura"/>
        <w:jc w:val="both"/>
        <w:rPr>
          <w:rFonts w:asciiTheme="majorHAnsi" w:hAnsiTheme="majorHAnsi" w:cs="TimesNewRomanPS"/>
          <w:sz w:val="20"/>
          <w:szCs w:val="20"/>
        </w:rPr>
      </w:pPr>
    </w:p>
    <w:p w:rsidR="00336592" w:rsidRDefault="00336592" w:rsidP="00561A65">
      <w:pPr>
        <w:pStyle w:val="Nessunaspaziatura"/>
        <w:jc w:val="both"/>
        <w:rPr>
          <w:rFonts w:asciiTheme="majorHAnsi" w:hAnsiTheme="majorHAnsi" w:cs="TimesNewRomanPS"/>
          <w:sz w:val="20"/>
          <w:szCs w:val="20"/>
        </w:rPr>
      </w:pPr>
      <w:r w:rsidRPr="00336592">
        <w:rPr>
          <w:rFonts w:asciiTheme="majorHAnsi" w:hAnsiTheme="majorHAnsi" w:cs="TimesNewRomanPS"/>
          <w:sz w:val="20"/>
          <w:szCs w:val="20"/>
        </w:rPr>
        <w:t>Christiansen, C., (2014)</w:t>
      </w:r>
      <w:r>
        <w:rPr>
          <w:rFonts w:asciiTheme="majorHAnsi" w:hAnsiTheme="majorHAnsi" w:cs="TimesNewRomanPS"/>
          <w:sz w:val="20"/>
          <w:szCs w:val="20"/>
        </w:rPr>
        <w:t xml:space="preserve"> </w:t>
      </w:r>
      <w:r w:rsidRPr="00336592">
        <w:rPr>
          <w:rFonts w:asciiTheme="majorHAnsi" w:hAnsiTheme="majorHAnsi" w:cs="TimesNewRomanPS"/>
          <w:sz w:val="20"/>
          <w:szCs w:val="20"/>
        </w:rPr>
        <w:t>“Integration of European bond markets” Journal of Banking &amp; Finance 42, 191–198</w:t>
      </w:r>
    </w:p>
    <w:p w:rsidR="00336592" w:rsidRDefault="00336592" w:rsidP="00561A65">
      <w:pPr>
        <w:pStyle w:val="Nessunaspaziatura"/>
        <w:jc w:val="both"/>
        <w:rPr>
          <w:rFonts w:asciiTheme="majorHAnsi" w:hAnsiTheme="majorHAnsi" w:cs="TimesNewRomanPS"/>
          <w:sz w:val="20"/>
          <w:szCs w:val="20"/>
        </w:rPr>
      </w:pPr>
    </w:p>
    <w:p w:rsidR="00561A65" w:rsidRPr="00724F7E" w:rsidRDefault="00561A65" w:rsidP="00561A65">
      <w:pPr>
        <w:pStyle w:val="Nessunaspaziatura"/>
        <w:jc w:val="both"/>
        <w:rPr>
          <w:rFonts w:asciiTheme="majorHAnsi" w:hAnsiTheme="majorHAnsi"/>
          <w:sz w:val="20"/>
          <w:szCs w:val="20"/>
        </w:rPr>
      </w:pPr>
      <w:r w:rsidRPr="00724F7E">
        <w:rPr>
          <w:rFonts w:asciiTheme="majorHAnsi" w:hAnsiTheme="majorHAnsi" w:cs="TimesNewRomanPS"/>
          <w:sz w:val="20"/>
          <w:szCs w:val="20"/>
        </w:rPr>
        <w:t xml:space="preserve">Codogno, L., Favero, C., Missale, A., Portes, R., and Thum, M., (2003) “Government bond spreads” </w:t>
      </w:r>
      <w:r w:rsidRPr="00724F7E">
        <w:rPr>
          <w:rFonts w:asciiTheme="majorHAnsi" w:hAnsiTheme="majorHAnsi" w:cs="TimesNewRomanPS-Italic"/>
          <w:i/>
          <w:iCs/>
          <w:sz w:val="20"/>
          <w:szCs w:val="20"/>
        </w:rPr>
        <w:t xml:space="preserve">Economic Policy </w:t>
      </w:r>
      <w:r w:rsidRPr="00724F7E">
        <w:rPr>
          <w:rFonts w:asciiTheme="majorHAnsi" w:hAnsiTheme="majorHAnsi" w:cs="TimesNewRomanPS-Italic"/>
          <w:iCs/>
          <w:sz w:val="20"/>
          <w:szCs w:val="20"/>
        </w:rPr>
        <w:t>18(37)</w:t>
      </w:r>
      <w:r w:rsidRPr="00724F7E">
        <w:rPr>
          <w:rFonts w:asciiTheme="majorHAnsi" w:hAnsiTheme="majorHAnsi" w:cs="TimesNewRomanPS"/>
          <w:sz w:val="20"/>
          <w:szCs w:val="20"/>
        </w:rPr>
        <w:t>, 503-532</w:t>
      </w:r>
    </w:p>
    <w:p w:rsidR="00C871B2" w:rsidRPr="00C871B2" w:rsidRDefault="00C871B2" w:rsidP="00C871B2">
      <w:pPr>
        <w:autoSpaceDE w:val="0"/>
        <w:autoSpaceDN w:val="0"/>
        <w:adjustRightInd w:val="0"/>
        <w:spacing w:after="0" w:line="240" w:lineRule="auto"/>
        <w:rPr>
          <w:rFonts w:asciiTheme="majorHAnsi" w:hAnsiTheme="majorHAnsi" w:cs="TimesNewRomanPS"/>
          <w:sz w:val="20"/>
          <w:szCs w:val="20"/>
        </w:rPr>
      </w:pPr>
    </w:p>
    <w:p w:rsidR="00C871B2" w:rsidRPr="00C871B2" w:rsidRDefault="00C871B2" w:rsidP="00C871B2">
      <w:pPr>
        <w:pStyle w:val="Default"/>
        <w:rPr>
          <w:rFonts w:asciiTheme="majorHAnsi" w:hAnsiTheme="majorHAnsi" w:cs="TimesNewRomanPS"/>
          <w:color w:val="auto"/>
          <w:sz w:val="20"/>
          <w:szCs w:val="20"/>
        </w:rPr>
      </w:pPr>
      <w:r w:rsidRPr="00C871B2">
        <w:rPr>
          <w:rFonts w:asciiTheme="majorHAnsi" w:hAnsiTheme="majorHAnsi" w:cs="TimesNewRomanPS"/>
          <w:color w:val="auto"/>
          <w:sz w:val="20"/>
          <w:szCs w:val="20"/>
        </w:rPr>
        <w:t xml:space="preserve">Connolly, R., Stivers, C., and Sun, L., (2005) “Stock Market Uncertainty and the Stock-Bond Return Relation” </w:t>
      </w:r>
      <w:r w:rsidRPr="00C871B2">
        <w:rPr>
          <w:rFonts w:asciiTheme="majorHAnsi" w:hAnsiTheme="majorHAnsi" w:cs="TimesNewRomanPS"/>
          <w:i/>
          <w:color w:val="auto"/>
          <w:sz w:val="20"/>
          <w:szCs w:val="20"/>
        </w:rPr>
        <w:t>Journal of Financial and Quantitative Analysis</w:t>
      </w:r>
      <w:r w:rsidRPr="00C871B2">
        <w:rPr>
          <w:rFonts w:asciiTheme="majorHAnsi" w:hAnsiTheme="majorHAnsi" w:cs="TimesNewRomanPS"/>
          <w:color w:val="auto"/>
          <w:sz w:val="20"/>
          <w:szCs w:val="20"/>
        </w:rPr>
        <w:t xml:space="preserve"> 40(1), 161-194</w:t>
      </w:r>
    </w:p>
    <w:p w:rsidR="00C871B2" w:rsidRDefault="00C871B2" w:rsidP="00561A65">
      <w:pPr>
        <w:pStyle w:val="Nessunaspaziatura"/>
        <w:jc w:val="both"/>
        <w:rPr>
          <w:rFonts w:asciiTheme="majorHAnsi" w:hAnsiTheme="majorHAnsi" w:cs="TimesNewRomanPS"/>
          <w:sz w:val="20"/>
          <w:szCs w:val="20"/>
        </w:rPr>
      </w:pPr>
    </w:p>
    <w:p w:rsidR="00845C96" w:rsidRDefault="00845C96" w:rsidP="00845C96">
      <w:pPr>
        <w:pStyle w:val="Nessunaspaziatura"/>
        <w:jc w:val="both"/>
        <w:rPr>
          <w:rFonts w:asciiTheme="majorHAnsi" w:hAnsiTheme="majorHAnsi" w:cs="TimesNewRomanPS"/>
          <w:sz w:val="20"/>
          <w:szCs w:val="20"/>
        </w:rPr>
      </w:pPr>
      <w:r w:rsidRPr="005B4238">
        <w:rPr>
          <w:rFonts w:asciiTheme="majorHAnsi" w:hAnsiTheme="majorHAnsi" w:cs="TimesNewRomanPS"/>
          <w:sz w:val="20"/>
          <w:szCs w:val="20"/>
        </w:rPr>
        <w:t>Corò, F., Dufour, A., Varotto, S.,</w:t>
      </w:r>
      <w:r>
        <w:rPr>
          <w:rFonts w:asciiTheme="majorHAnsi" w:hAnsiTheme="majorHAnsi" w:cs="TimesNewRomanPS"/>
          <w:sz w:val="20"/>
          <w:szCs w:val="20"/>
        </w:rPr>
        <w:t xml:space="preserve"> (2013</w:t>
      </w:r>
      <w:r w:rsidRPr="00336592">
        <w:rPr>
          <w:rFonts w:asciiTheme="majorHAnsi" w:hAnsiTheme="majorHAnsi" w:cs="TimesNewRomanPS"/>
          <w:sz w:val="20"/>
          <w:szCs w:val="20"/>
        </w:rPr>
        <w:t>)</w:t>
      </w:r>
      <w:r>
        <w:rPr>
          <w:rFonts w:asciiTheme="majorHAnsi" w:hAnsiTheme="majorHAnsi" w:cs="TimesNewRomanPS"/>
          <w:sz w:val="20"/>
          <w:szCs w:val="20"/>
        </w:rPr>
        <w:t xml:space="preserve"> </w:t>
      </w:r>
      <w:r w:rsidRPr="00336592">
        <w:rPr>
          <w:rFonts w:asciiTheme="majorHAnsi" w:hAnsiTheme="majorHAnsi" w:cs="TimesNewRomanPS"/>
          <w:sz w:val="20"/>
          <w:szCs w:val="20"/>
        </w:rPr>
        <w:t>“</w:t>
      </w:r>
      <w:r w:rsidRPr="005B4238">
        <w:rPr>
          <w:rFonts w:asciiTheme="majorHAnsi" w:hAnsiTheme="majorHAnsi" w:cs="TimesNewRomanPS"/>
          <w:sz w:val="20"/>
          <w:szCs w:val="20"/>
        </w:rPr>
        <w:t>Credit and liquidity components of corporate CDS spreads</w:t>
      </w:r>
      <w:r w:rsidRPr="00336592">
        <w:rPr>
          <w:rFonts w:asciiTheme="majorHAnsi" w:hAnsiTheme="majorHAnsi" w:cs="TimesNewRomanPS"/>
          <w:sz w:val="20"/>
          <w:szCs w:val="20"/>
        </w:rPr>
        <w:t>”</w:t>
      </w:r>
      <w:r>
        <w:rPr>
          <w:rFonts w:asciiTheme="majorHAnsi" w:hAnsiTheme="majorHAnsi" w:cs="TimesNewRomanPS"/>
          <w:sz w:val="20"/>
          <w:szCs w:val="20"/>
        </w:rPr>
        <w:t xml:space="preserve"> </w:t>
      </w:r>
      <w:r w:rsidRPr="005B4238">
        <w:rPr>
          <w:rFonts w:asciiTheme="majorHAnsi" w:hAnsiTheme="majorHAnsi" w:cs="TimesNewRomanPS"/>
          <w:i/>
          <w:sz w:val="20"/>
          <w:szCs w:val="20"/>
        </w:rPr>
        <w:t>Journal of Banking &amp; Finance</w:t>
      </w:r>
      <w:r>
        <w:rPr>
          <w:rFonts w:asciiTheme="majorHAnsi" w:hAnsiTheme="majorHAnsi" w:cs="TimesNewRomanPS"/>
          <w:sz w:val="20"/>
          <w:szCs w:val="20"/>
        </w:rPr>
        <w:t xml:space="preserve"> 37(12)</w:t>
      </w:r>
      <w:r w:rsidRPr="00336592">
        <w:rPr>
          <w:rFonts w:asciiTheme="majorHAnsi" w:hAnsiTheme="majorHAnsi" w:cs="TimesNewRomanPS"/>
          <w:sz w:val="20"/>
          <w:szCs w:val="20"/>
        </w:rPr>
        <w:t>,</w:t>
      </w:r>
      <w:r>
        <w:rPr>
          <w:rFonts w:asciiTheme="majorHAnsi" w:hAnsiTheme="majorHAnsi" w:cs="TimesNewRomanPS"/>
          <w:sz w:val="20"/>
          <w:szCs w:val="20"/>
        </w:rPr>
        <w:t xml:space="preserve"> </w:t>
      </w:r>
      <w:r w:rsidRPr="005B4238">
        <w:rPr>
          <w:rFonts w:asciiTheme="majorHAnsi" w:hAnsiTheme="majorHAnsi" w:cs="TimesNewRomanPS"/>
          <w:sz w:val="20"/>
          <w:szCs w:val="20"/>
        </w:rPr>
        <w:t>5511–5525</w:t>
      </w:r>
    </w:p>
    <w:p w:rsidR="00845C96" w:rsidRPr="00C871B2" w:rsidRDefault="00845C96" w:rsidP="00561A65">
      <w:pPr>
        <w:pStyle w:val="Nessunaspaziatura"/>
        <w:jc w:val="both"/>
        <w:rPr>
          <w:rFonts w:asciiTheme="majorHAnsi" w:hAnsiTheme="majorHAnsi" w:cs="TimesNewRomanPS"/>
          <w:sz w:val="20"/>
          <w:szCs w:val="20"/>
        </w:rPr>
      </w:pPr>
    </w:p>
    <w:p w:rsidR="00561A65" w:rsidRDefault="00561A65" w:rsidP="00561A65">
      <w:pPr>
        <w:pStyle w:val="Nessunaspaziatura"/>
        <w:jc w:val="both"/>
        <w:rPr>
          <w:rFonts w:asciiTheme="majorHAnsi" w:hAnsiTheme="majorHAnsi"/>
          <w:sz w:val="20"/>
          <w:szCs w:val="20"/>
        </w:rPr>
      </w:pPr>
      <w:r>
        <w:rPr>
          <w:rFonts w:asciiTheme="majorHAnsi" w:hAnsiTheme="majorHAnsi"/>
          <w:sz w:val="20"/>
          <w:szCs w:val="20"/>
        </w:rPr>
        <w:t>Darbha, M. and Dufour, A., (2013</w:t>
      </w:r>
      <w:r w:rsidRPr="00724F7E">
        <w:rPr>
          <w:rFonts w:asciiTheme="majorHAnsi" w:hAnsiTheme="majorHAnsi"/>
          <w:sz w:val="20"/>
          <w:szCs w:val="20"/>
        </w:rPr>
        <w:t xml:space="preserve">) “Measuring Euro Area Government Bond Market liquidity and its Asset Pricing Implications” </w:t>
      </w:r>
      <w:r w:rsidRPr="00724F7E">
        <w:rPr>
          <w:rFonts w:asciiTheme="majorHAnsi" w:hAnsiTheme="majorHAnsi"/>
          <w:i/>
          <w:sz w:val="20"/>
          <w:szCs w:val="20"/>
        </w:rPr>
        <w:t>Working Paper</w:t>
      </w:r>
      <w:r>
        <w:rPr>
          <w:rFonts w:asciiTheme="majorHAnsi" w:hAnsiTheme="majorHAnsi"/>
          <w:sz w:val="20"/>
          <w:szCs w:val="20"/>
        </w:rPr>
        <w:t>,</w:t>
      </w:r>
    </w:p>
    <w:p w:rsidR="00561A65" w:rsidRPr="00C17B38" w:rsidRDefault="00561A65" w:rsidP="00561A65">
      <w:pPr>
        <w:pStyle w:val="Nessunaspaziatura"/>
        <w:jc w:val="both"/>
        <w:rPr>
          <w:rFonts w:asciiTheme="majorHAnsi" w:hAnsiTheme="majorHAnsi" w:cs="TimesNewRomanPS"/>
          <w:sz w:val="20"/>
          <w:szCs w:val="20"/>
        </w:rPr>
      </w:pPr>
      <w:r w:rsidRPr="00C17B38">
        <w:rPr>
          <w:rFonts w:asciiTheme="majorHAnsi" w:hAnsiTheme="majorHAnsi" w:cs="TimesNewRomanPS"/>
          <w:sz w:val="20"/>
          <w:szCs w:val="20"/>
        </w:rPr>
        <w:t>http://www.efmaefm.org/0EFMAMEETINGS/EFMA%20ANNUAL%20MEETINGS/2013-Reading/papers/Complete%20paper%20final.pdf</w:t>
      </w:r>
    </w:p>
    <w:p w:rsidR="00D21842" w:rsidRPr="00724F7E" w:rsidRDefault="00D21842" w:rsidP="00561A65">
      <w:pPr>
        <w:pStyle w:val="Nessunaspaziatura"/>
      </w:pPr>
    </w:p>
    <w:p w:rsidR="00561A65" w:rsidRPr="00724F7E" w:rsidRDefault="00561A65" w:rsidP="00561A65">
      <w:pPr>
        <w:pStyle w:val="Nessunaspaziatura"/>
        <w:rPr>
          <w:rFonts w:asciiTheme="majorHAnsi" w:hAnsiTheme="majorHAnsi"/>
          <w:sz w:val="20"/>
          <w:szCs w:val="20"/>
        </w:rPr>
      </w:pPr>
      <w:r w:rsidRPr="00724F7E">
        <w:rPr>
          <w:rFonts w:asciiTheme="majorHAnsi" w:hAnsiTheme="majorHAnsi"/>
          <w:sz w:val="20"/>
          <w:szCs w:val="20"/>
        </w:rPr>
        <w:t>Dufour, A. and Skinner, F., (2004) “MTS Time Series: Market and Data Description for the European</w:t>
      </w:r>
    </w:p>
    <w:p w:rsidR="00561A65" w:rsidRDefault="00561A65" w:rsidP="00561A65">
      <w:pPr>
        <w:pStyle w:val="Nessunaspaziatura"/>
        <w:rPr>
          <w:rFonts w:asciiTheme="majorHAnsi" w:hAnsiTheme="majorHAnsi"/>
          <w:i/>
          <w:sz w:val="20"/>
          <w:szCs w:val="20"/>
        </w:rPr>
      </w:pPr>
      <w:r w:rsidRPr="00724F7E">
        <w:rPr>
          <w:rFonts w:asciiTheme="majorHAnsi" w:hAnsiTheme="majorHAnsi"/>
          <w:sz w:val="20"/>
          <w:szCs w:val="20"/>
        </w:rPr>
        <w:t xml:space="preserve">Bond and Repo Database” </w:t>
      </w:r>
      <w:r w:rsidRPr="00724F7E">
        <w:rPr>
          <w:rFonts w:asciiTheme="majorHAnsi" w:hAnsiTheme="majorHAnsi"/>
          <w:i/>
          <w:sz w:val="20"/>
          <w:szCs w:val="20"/>
        </w:rPr>
        <w:t>Working Paper</w:t>
      </w:r>
    </w:p>
    <w:p w:rsidR="00561A65" w:rsidRPr="008439D2" w:rsidRDefault="00561A65" w:rsidP="00561A65">
      <w:pPr>
        <w:pStyle w:val="Nessunaspaziatura"/>
        <w:rPr>
          <w:rFonts w:asciiTheme="majorHAnsi" w:hAnsiTheme="majorHAnsi" w:cs="TimesNewRomanPS"/>
          <w:sz w:val="20"/>
          <w:szCs w:val="20"/>
        </w:rPr>
      </w:pPr>
      <w:r w:rsidRPr="008439D2">
        <w:rPr>
          <w:rFonts w:asciiTheme="majorHAnsi" w:hAnsiTheme="majorHAnsi" w:cs="TimesNewRomanPS"/>
          <w:sz w:val="20"/>
          <w:szCs w:val="20"/>
        </w:rPr>
        <w:t>http://www.icmacentre.ac.uk/files/discussion-papers/DP2004-07.pdf</w:t>
      </w:r>
    </w:p>
    <w:p w:rsidR="00561A65" w:rsidRPr="00724F7E" w:rsidRDefault="00561A65" w:rsidP="00561A65">
      <w:pPr>
        <w:pStyle w:val="Nessunaspaziatura"/>
      </w:pPr>
    </w:p>
    <w:p w:rsidR="00561A65" w:rsidRPr="00724F7E" w:rsidRDefault="00561A65" w:rsidP="00561A65">
      <w:pPr>
        <w:pStyle w:val="Nessunaspaziatura"/>
        <w:jc w:val="both"/>
        <w:rPr>
          <w:rFonts w:asciiTheme="majorHAnsi" w:hAnsiTheme="majorHAnsi"/>
          <w:sz w:val="20"/>
          <w:szCs w:val="20"/>
        </w:rPr>
      </w:pPr>
      <w:r w:rsidRPr="00724F7E">
        <w:rPr>
          <w:rFonts w:asciiTheme="majorHAnsi" w:hAnsiTheme="majorHAnsi"/>
          <w:sz w:val="20"/>
          <w:szCs w:val="20"/>
        </w:rPr>
        <w:t xml:space="preserve">Dufour, A., and Nguyen, M., (2012) “Permanent Trading Impacts and Bond Yields” </w:t>
      </w:r>
      <w:r w:rsidRPr="00724F7E">
        <w:rPr>
          <w:rFonts w:asciiTheme="majorHAnsi" w:hAnsiTheme="majorHAnsi"/>
          <w:i/>
          <w:sz w:val="20"/>
          <w:szCs w:val="20"/>
        </w:rPr>
        <w:t>European Journal of Finance</w:t>
      </w:r>
      <w:r w:rsidRPr="00724F7E">
        <w:rPr>
          <w:rFonts w:asciiTheme="majorHAnsi" w:hAnsiTheme="majorHAnsi"/>
          <w:sz w:val="20"/>
          <w:szCs w:val="20"/>
        </w:rPr>
        <w:t>, 18(9), 841-864</w:t>
      </w:r>
    </w:p>
    <w:p w:rsidR="00561A65" w:rsidRPr="00724F7E" w:rsidRDefault="00561A65" w:rsidP="00561A65">
      <w:pPr>
        <w:pStyle w:val="Nessunaspaziatura"/>
        <w:jc w:val="both"/>
        <w:rPr>
          <w:rFonts w:asciiTheme="majorHAnsi" w:hAnsiTheme="majorHAnsi"/>
          <w:sz w:val="20"/>
          <w:szCs w:val="20"/>
        </w:rPr>
      </w:pPr>
    </w:p>
    <w:p w:rsidR="00561A65" w:rsidRPr="00724F7E" w:rsidRDefault="00561A65" w:rsidP="00561A65">
      <w:pPr>
        <w:pStyle w:val="Nessunaspaziatura"/>
        <w:jc w:val="both"/>
        <w:rPr>
          <w:rFonts w:asciiTheme="majorHAnsi" w:hAnsiTheme="majorHAnsi"/>
          <w:sz w:val="20"/>
          <w:szCs w:val="20"/>
        </w:rPr>
      </w:pPr>
      <w:r w:rsidRPr="00724F7E">
        <w:rPr>
          <w:rFonts w:asciiTheme="majorHAnsi" w:hAnsiTheme="majorHAnsi"/>
          <w:sz w:val="20"/>
          <w:szCs w:val="20"/>
        </w:rPr>
        <w:t xml:space="preserve">Dunne, P. G., Moore, M., and Portes, R., (2006) "European Government Bond Markets: Transparency, Liquidity, Efficiency” </w:t>
      </w:r>
      <w:r w:rsidRPr="00724F7E">
        <w:rPr>
          <w:rFonts w:asciiTheme="majorHAnsi" w:hAnsiTheme="majorHAnsi"/>
          <w:i/>
          <w:sz w:val="20"/>
          <w:szCs w:val="20"/>
        </w:rPr>
        <w:t>CEPR</w:t>
      </w:r>
      <w:r w:rsidRPr="00724F7E">
        <w:rPr>
          <w:rFonts w:asciiTheme="majorHAnsi" w:hAnsiTheme="majorHAnsi"/>
          <w:sz w:val="20"/>
          <w:szCs w:val="20"/>
        </w:rPr>
        <w:t xml:space="preserve">, London, UK </w:t>
      </w:r>
    </w:p>
    <w:p w:rsidR="00561A65" w:rsidRPr="00724F7E" w:rsidRDefault="00561A65" w:rsidP="00561A65">
      <w:pPr>
        <w:pStyle w:val="Nessunaspaziatura"/>
        <w:jc w:val="both"/>
        <w:rPr>
          <w:rFonts w:asciiTheme="majorHAnsi" w:hAnsiTheme="majorHAnsi"/>
          <w:sz w:val="20"/>
          <w:szCs w:val="20"/>
        </w:rPr>
      </w:pPr>
    </w:p>
    <w:p w:rsidR="00561A65" w:rsidRPr="00724F7E" w:rsidRDefault="00561A65" w:rsidP="00561A65">
      <w:pPr>
        <w:pStyle w:val="Nessunaspaziatura"/>
        <w:jc w:val="both"/>
        <w:rPr>
          <w:rFonts w:asciiTheme="majorHAnsi" w:hAnsiTheme="majorHAnsi"/>
          <w:sz w:val="20"/>
          <w:szCs w:val="20"/>
        </w:rPr>
      </w:pPr>
      <w:r w:rsidRPr="00724F7E">
        <w:rPr>
          <w:rFonts w:asciiTheme="majorHAnsi" w:hAnsiTheme="majorHAnsi"/>
          <w:sz w:val="20"/>
          <w:szCs w:val="20"/>
        </w:rPr>
        <w:t xml:space="preserve">Eom, Y.H., Subrahmanyam, M.G., and Uno J., (1998) “Coupon Effects and the Pricing of Japanese Government Bonds: An Empirical Analysis” </w:t>
      </w:r>
      <w:r w:rsidRPr="00724F7E">
        <w:rPr>
          <w:rFonts w:asciiTheme="majorHAnsi" w:hAnsiTheme="majorHAnsi"/>
          <w:i/>
          <w:sz w:val="20"/>
          <w:szCs w:val="20"/>
        </w:rPr>
        <w:t>The Journal of Fixed Income</w:t>
      </w:r>
      <w:r w:rsidRPr="00724F7E">
        <w:rPr>
          <w:rFonts w:asciiTheme="majorHAnsi" w:hAnsiTheme="majorHAnsi"/>
          <w:sz w:val="20"/>
          <w:szCs w:val="20"/>
        </w:rPr>
        <w:t xml:space="preserve"> 8(2), 69-86</w:t>
      </w:r>
    </w:p>
    <w:p w:rsidR="00203CFB" w:rsidRDefault="00203CFB" w:rsidP="00203CFB">
      <w:pPr>
        <w:pStyle w:val="Nessunaspaziatura"/>
        <w:jc w:val="both"/>
        <w:rPr>
          <w:rFonts w:ascii="TimesNewRomanPS" w:hAnsi="TimesNewRomanPS" w:cs="TimesNewRomanPS"/>
          <w:sz w:val="20"/>
          <w:szCs w:val="20"/>
        </w:rPr>
      </w:pPr>
    </w:p>
    <w:p w:rsidR="00203CFB" w:rsidRDefault="00203CFB" w:rsidP="00203CFB">
      <w:pPr>
        <w:pStyle w:val="Nessunaspaziatura"/>
        <w:jc w:val="both"/>
        <w:rPr>
          <w:rFonts w:ascii="TimesNewRomanPS" w:hAnsi="TimesNewRomanPS" w:cs="TimesNewRomanPS"/>
          <w:sz w:val="20"/>
          <w:szCs w:val="20"/>
        </w:rPr>
      </w:pPr>
      <w:r w:rsidRPr="00724F7E">
        <w:rPr>
          <w:rFonts w:ascii="TimesNewRomanPS" w:hAnsi="TimesNewRomanPS" w:cs="TimesNewRomanPS"/>
          <w:sz w:val="20"/>
          <w:szCs w:val="20"/>
        </w:rPr>
        <w:t>European Central Bank (2004) “The euro bond market study”</w:t>
      </w:r>
    </w:p>
    <w:p w:rsidR="00203CFB" w:rsidRPr="00724F7E" w:rsidRDefault="00203CFB" w:rsidP="00203CFB">
      <w:pPr>
        <w:pStyle w:val="Nessunaspaziatura"/>
        <w:jc w:val="both"/>
        <w:rPr>
          <w:rFonts w:ascii="TimesNewRomanPS" w:hAnsi="TimesNewRomanPS" w:cs="TimesNewRomanPS"/>
          <w:sz w:val="20"/>
          <w:szCs w:val="20"/>
        </w:rPr>
      </w:pPr>
      <w:r w:rsidRPr="00DD175C">
        <w:rPr>
          <w:rFonts w:ascii="TimesNewRomanPS" w:hAnsi="TimesNewRomanPS" w:cs="TimesNewRomanPS"/>
          <w:sz w:val="20"/>
          <w:szCs w:val="20"/>
        </w:rPr>
        <w:t>https://www.ecb.europa.eu/pub/pdf/other/eurobondmarketstudy2004en.pdf</w:t>
      </w:r>
    </w:p>
    <w:p w:rsidR="00203CFB" w:rsidRPr="00724F7E" w:rsidRDefault="00203CFB" w:rsidP="00203CFB">
      <w:pPr>
        <w:pStyle w:val="Nessunaspaziatura"/>
        <w:jc w:val="both"/>
        <w:rPr>
          <w:rFonts w:ascii="TimesNewRomanPS" w:hAnsi="TimesNewRomanPS" w:cs="TimesNewRomanPS"/>
          <w:sz w:val="20"/>
          <w:szCs w:val="20"/>
        </w:rPr>
      </w:pPr>
    </w:p>
    <w:p w:rsidR="00203CFB" w:rsidRDefault="00203CFB" w:rsidP="00203CFB">
      <w:pPr>
        <w:pStyle w:val="Nessunaspaziatura"/>
        <w:jc w:val="both"/>
        <w:rPr>
          <w:rFonts w:ascii="TimesNewRomanPS" w:hAnsi="TimesNewRomanPS" w:cs="TimesNewRomanPS"/>
          <w:sz w:val="20"/>
          <w:szCs w:val="20"/>
        </w:rPr>
      </w:pPr>
      <w:r w:rsidRPr="00724F7E">
        <w:rPr>
          <w:rFonts w:ascii="TimesNewRomanPS" w:hAnsi="TimesNewRomanPS" w:cs="TimesNewRomanPS"/>
          <w:sz w:val="20"/>
          <w:szCs w:val="20"/>
        </w:rPr>
        <w:t>European Central Bank (2007) “The euro bonds and derivatives markets”</w:t>
      </w:r>
    </w:p>
    <w:p w:rsidR="00203CFB" w:rsidRPr="00724F7E" w:rsidRDefault="00203CFB" w:rsidP="00203CFB">
      <w:pPr>
        <w:pStyle w:val="Nessunaspaziatura"/>
        <w:jc w:val="both"/>
        <w:rPr>
          <w:rFonts w:ascii="TimesNewRomanPS" w:hAnsi="TimesNewRomanPS" w:cs="TimesNewRomanPS"/>
          <w:sz w:val="20"/>
          <w:szCs w:val="20"/>
        </w:rPr>
      </w:pPr>
      <w:r w:rsidRPr="00DD175C">
        <w:rPr>
          <w:rFonts w:ascii="TimesNewRomanPS" w:hAnsi="TimesNewRomanPS" w:cs="TimesNewRomanPS"/>
          <w:sz w:val="20"/>
          <w:szCs w:val="20"/>
        </w:rPr>
        <w:t>http://www.ecb.europa.eu/pub/pdf/other/eurobondmarketstudy200706en.pdf</w:t>
      </w:r>
    </w:p>
    <w:p w:rsidR="00203CFB" w:rsidRPr="00724F7E" w:rsidRDefault="00203CFB" w:rsidP="00203CFB">
      <w:pPr>
        <w:pStyle w:val="Nessunaspaziatura"/>
        <w:jc w:val="both"/>
        <w:rPr>
          <w:rFonts w:asciiTheme="majorHAnsi" w:hAnsiTheme="majorHAnsi"/>
          <w:sz w:val="20"/>
          <w:szCs w:val="20"/>
        </w:rPr>
      </w:pPr>
    </w:p>
    <w:p w:rsidR="00561A65" w:rsidRPr="00724F7E" w:rsidRDefault="00561A65" w:rsidP="00561A65">
      <w:pPr>
        <w:pStyle w:val="Nessunaspaziatura"/>
        <w:jc w:val="both"/>
        <w:rPr>
          <w:rFonts w:asciiTheme="majorHAnsi" w:hAnsiTheme="majorHAnsi"/>
          <w:i/>
          <w:sz w:val="20"/>
          <w:szCs w:val="20"/>
        </w:rPr>
      </w:pPr>
      <w:r w:rsidRPr="00724F7E">
        <w:rPr>
          <w:rFonts w:asciiTheme="majorHAnsi" w:hAnsiTheme="majorHAnsi"/>
          <w:sz w:val="20"/>
          <w:szCs w:val="20"/>
        </w:rPr>
        <w:t xml:space="preserve">Fama, E.F., and French, K.R., (1993) “Common risk factors in the returns on stocks and bonds” </w:t>
      </w:r>
      <w:r w:rsidRPr="00724F7E">
        <w:rPr>
          <w:rFonts w:asciiTheme="majorHAnsi" w:hAnsiTheme="majorHAnsi"/>
          <w:i/>
          <w:sz w:val="20"/>
          <w:szCs w:val="20"/>
        </w:rPr>
        <w:t>Journal of</w:t>
      </w:r>
    </w:p>
    <w:p w:rsidR="00561A65" w:rsidRPr="00724F7E" w:rsidRDefault="00561A65" w:rsidP="00561A65">
      <w:pPr>
        <w:pStyle w:val="Nessunaspaziatura"/>
        <w:jc w:val="both"/>
        <w:rPr>
          <w:rFonts w:asciiTheme="majorHAnsi" w:hAnsiTheme="majorHAnsi"/>
          <w:sz w:val="20"/>
          <w:szCs w:val="20"/>
        </w:rPr>
      </w:pPr>
      <w:r w:rsidRPr="00724F7E">
        <w:rPr>
          <w:rFonts w:asciiTheme="majorHAnsi" w:hAnsiTheme="majorHAnsi"/>
          <w:i/>
          <w:sz w:val="20"/>
          <w:szCs w:val="20"/>
        </w:rPr>
        <w:t>Financial Economics</w:t>
      </w:r>
      <w:r w:rsidRPr="00724F7E">
        <w:rPr>
          <w:rFonts w:asciiTheme="majorHAnsi" w:hAnsiTheme="majorHAnsi"/>
          <w:sz w:val="20"/>
          <w:szCs w:val="20"/>
        </w:rPr>
        <w:t xml:space="preserve"> 33(1), 3-56.</w:t>
      </w:r>
    </w:p>
    <w:p w:rsidR="00561A65" w:rsidRPr="00724F7E" w:rsidRDefault="00561A65" w:rsidP="00561A65">
      <w:pPr>
        <w:pStyle w:val="Nessunaspaziatura"/>
        <w:jc w:val="both"/>
      </w:pPr>
    </w:p>
    <w:p w:rsidR="00561A65" w:rsidRPr="00724F7E" w:rsidRDefault="00561A65" w:rsidP="00561A65">
      <w:pPr>
        <w:autoSpaceDE w:val="0"/>
        <w:autoSpaceDN w:val="0"/>
        <w:adjustRightInd w:val="0"/>
        <w:spacing w:after="0" w:line="240" w:lineRule="auto"/>
        <w:jc w:val="both"/>
        <w:rPr>
          <w:rFonts w:asciiTheme="majorHAnsi" w:hAnsiTheme="majorHAnsi"/>
          <w:sz w:val="20"/>
          <w:szCs w:val="20"/>
        </w:rPr>
      </w:pPr>
      <w:r w:rsidRPr="00724F7E">
        <w:rPr>
          <w:rFonts w:asciiTheme="majorHAnsi" w:hAnsiTheme="majorHAnsi"/>
          <w:sz w:val="20"/>
          <w:szCs w:val="20"/>
        </w:rPr>
        <w:t xml:space="preserve">Favero, C., Pagano, M., and von Thadden, E.-L., (2010) “How Does Liquidity Affect Government Bond Yields?” </w:t>
      </w:r>
      <w:r w:rsidRPr="00724F7E">
        <w:rPr>
          <w:rFonts w:asciiTheme="majorHAnsi" w:hAnsiTheme="majorHAnsi"/>
          <w:i/>
          <w:sz w:val="20"/>
          <w:szCs w:val="20"/>
        </w:rPr>
        <w:t>Journal of Financial and Quantitative Analysis</w:t>
      </w:r>
      <w:r w:rsidRPr="00724F7E">
        <w:rPr>
          <w:rFonts w:asciiTheme="majorHAnsi" w:hAnsiTheme="majorHAnsi"/>
          <w:sz w:val="20"/>
          <w:szCs w:val="20"/>
        </w:rPr>
        <w:t xml:space="preserve"> 45(1), 107-134</w:t>
      </w:r>
    </w:p>
    <w:p w:rsidR="00561A65" w:rsidRPr="00724F7E" w:rsidRDefault="00561A65" w:rsidP="00561A65">
      <w:pPr>
        <w:pStyle w:val="Nessunaspaziatura"/>
        <w:jc w:val="both"/>
        <w:rPr>
          <w:rFonts w:asciiTheme="majorHAnsi" w:hAnsiTheme="majorHAnsi"/>
          <w:sz w:val="20"/>
          <w:szCs w:val="20"/>
        </w:rPr>
      </w:pPr>
    </w:p>
    <w:p w:rsidR="00561A65" w:rsidRPr="00724F7E" w:rsidRDefault="00561A65" w:rsidP="00561A65">
      <w:pPr>
        <w:pStyle w:val="Nessunaspaziatura"/>
        <w:jc w:val="both"/>
        <w:rPr>
          <w:rFonts w:asciiTheme="majorHAnsi" w:hAnsiTheme="majorHAnsi"/>
          <w:sz w:val="20"/>
          <w:szCs w:val="20"/>
        </w:rPr>
      </w:pPr>
      <w:r w:rsidRPr="00724F7E">
        <w:rPr>
          <w:rFonts w:asciiTheme="majorHAnsi" w:hAnsiTheme="majorHAnsi"/>
          <w:sz w:val="20"/>
          <w:szCs w:val="20"/>
        </w:rPr>
        <w:t xml:space="preserve">Fleming, M. J. (2002) “Are larger Treasury issues more liquid? Evidence from bill reopenings” </w:t>
      </w:r>
      <w:r w:rsidRPr="00724F7E">
        <w:rPr>
          <w:rFonts w:asciiTheme="majorHAnsi" w:hAnsiTheme="majorHAnsi"/>
          <w:i/>
          <w:sz w:val="20"/>
          <w:szCs w:val="20"/>
        </w:rPr>
        <w:t>Journal of Money, Credit, and Banking</w:t>
      </w:r>
      <w:r w:rsidRPr="00724F7E">
        <w:rPr>
          <w:rFonts w:asciiTheme="majorHAnsi" w:hAnsiTheme="majorHAnsi"/>
          <w:sz w:val="20"/>
          <w:szCs w:val="20"/>
        </w:rPr>
        <w:t xml:space="preserve"> 3(2), 707-735</w:t>
      </w:r>
    </w:p>
    <w:p w:rsidR="00561A65" w:rsidRPr="00724F7E" w:rsidRDefault="00561A65" w:rsidP="00561A65">
      <w:pPr>
        <w:pStyle w:val="Nessunaspaziatura"/>
        <w:jc w:val="both"/>
        <w:rPr>
          <w:rFonts w:asciiTheme="majorHAnsi" w:hAnsiTheme="majorHAnsi"/>
          <w:sz w:val="20"/>
          <w:szCs w:val="20"/>
        </w:rPr>
      </w:pPr>
    </w:p>
    <w:p w:rsidR="00561A65" w:rsidRPr="00724F7E" w:rsidRDefault="00561A65" w:rsidP="00561A65">
      <w:pPr>
        <w:pStyle w:val="Nessunaspaziatura"/>
        <w:jc w:val="both"/>
        <w:rPr>
          <w:rFonts w:asciiTheme="majorHAnsi" w:hAnsiTheme="majorHAnsi"/>
          <w:sz w:val="20"/>
          <w:szCs w:val="20"/>
        </w:rPr>
      </w:pPr>
      <w:r w:rsidRPr="00724F7E">
        <w:rPr>
          <w:rFonts w:asciiTheme="majorHAnsi" w:hAnsiTheme="majorHAnsi"/>
          <w:sz w:val="20"/>
          <w:szCs w:val="20"/>
        </w:rPr>
        <w:t>Geyer, A., Kossmeier, S., and Pichler, S., (2004) “Measuring Systematic Risk in EMU Government Yield Spreads</w:t>
      </w:r>
      <w:r>
        <w:rPr>
          <w:rFonts w:asciiTheme="majorHAnsi" w:hAnsiTheme="majorHAnsi"/>
          <w:sz w:val="20"/>
          <w:szCs w:val="20"/>
        </w:rPr>
        <w:t xml:space="preserve">” </w:t>
      </w:r>
      <w:r w:rsidRPr="00E24E5B">
        <w:rPr>
          <w:rFonts w:asciiTheme="majorHAnsi" w:hAnsiTheme="majorHAnsi"/>
          <w:i/>
          <w:sz w:val="20"/>
          <w:szCs w:val="20"/>
        </w:rPr>
        <w:t>Review of Finance</w:t>
      </w:r>
      <w:r w:rsidRPr="00724F7E">
        <w:rPr>
          <w:rFonts w:asciiTheme="majorHAnsi" w:hAnsiTheme="majorHAnsi"/>
          <w:sz w:val="20"/>
          <w:szCs w:val="20"/>
        </w:rPr>
        <w:t xml:space="preserve"> 8</w:t>
      </w:r>
      <w:r>
        <w:rPr>
          <w:rFonts w:asciiTheme="majorHAnsi" w:hAnsiTheme="majorHAnsi"/>
          <w:sz w:val="20"/>
          <w:szCs w:val="20"/>
        </w:rPr>
        <w:t>(2)</w:t>
      </w:r>
      <w:r w:rsidRPr="00724F7E">
        <w:rPr>
          <w:rFonts w:asciiTheme="majorHAnsi" w:hAnsiTheme="majorHAnsi"/>
          <w:sz w:val="20"/>
          <w:szCs w:val="20"/>
        </w:rPr>
        <w:t>, 171–97</w:t>
      </w:r>
    </w:p>
    <w:p w:rsidR="00561A65" w:rsidRPr="00724F7E" w:rsidRDefault="00561A65" w:rsidP="00561A65">
      <w:pPr>
        <w:pStyle w:val="Nessunaspaziatura"/>
        <w:jc w:val="both"/>
        <w:rPr>
          <w:rFonts w:asciiTheme="majorHAnsi" w:hAnsiTheme="majorHAnsi"/>
          <w:sz w:val="20"/>
          <w:szCs w:val="20"/>
        </w:rPr>
      </w:pPr>
    </w:p>
    <w:p w:rsidR="00561A65" w:rsidRPr="00724F7E" w:rsidRDefault="00561A65" w:rsidP="00561A65">
      <w:pPr>
        <w:pStyle w:val="Nessunaspaziatura"/>
        <w:jc w:val="both"/>
        <w:rPr>
          <w:rFonts w:asciiTheme="majorHAnsi" w:hAnsiTheme="majorHAnsi"/>
          <w:sz w:val="20"/>
          <w:szCs w:val="20"/>
        </w:rPr>
      </w:pPr>
      <w:r w:rsidRPr="00724F7E">
        <w:rPr>
          <w:rFonts w:asciiTheme="majorHAnsi" w:hAnsiTheme="majorHAnsi"/>
          <w:sz w:val="20"/>
          <w:szCs w:val="20"/>
        </w:rPr>
        <w:t xml:space="preserve">Grinblatt, M., and Longstaff, F. A., (2000) “Financial innovation and the role of derivative securities: An empirical analysis of the U.S. Treasury’s STRIPS program” </w:t>
      </w:r>
      <w:r w:rsidRPr="00724F7E">
        <w:rPr>
          <w:rFonts w:asciiTheme="majorHAnsi" w:hAnsiTheme="majorHAnsi"/>
          <w:i/>
          <w:sz w:val="20"/>
          <w:szCs w:val="20"/>
        </w:rPr>
        <w:t xml:space="preserve">Journal of Finance </w:t>
      </w:r>
      <w:r w:rsidRPr="00724F7E">
        <w:rPr>
          <w:rFonts w:asciiTheme="majorHAnsi" w:hAnsiTheme="majorHAnsi"/>
          <w:sz w:val="20"/>
          <w:szCs w:val="20"/>
        </w:rPr>
        <w:t>55(3), 1415-1436</w:t>
      </w:r>
    </w:p>
    <w:p w:rsidR="00561A65" w:rsidRPr="00724F7E" w:rsidRDefault="00561A65" w:rsidP="00561A65">
      <w:pPr>
        <w:pStyle w:val="Nessunaspaziatura"/>
        <w:jc w:val="both"/>
        <w:rPr>
          <w:rFonts w:asciiTheme="majorHAnsi" w:hAnsiTheme="majorHAnsi"/>
          <w:sz w:val="20"/>
          <w:szCs w:val="20"/>
        </w:rPr>
      </w:pPr>
    </w:p>
    <w:p w:rsidR="00C33CA3" w:rsidRDefault="00C33CA3" w:rsidP="00C33CA3">
      <w:pPr>
        <w:pStyle w:val="Nessunaspaziatura"/>
        <w:jc w:val="both"/>
        <w:rPr>
          <w:rFonts w:asciiTheme="majorHAnsi" w:hAnsiTheme="majorHAnsi"/>
          <w:sz w:val="20"/>
          <w:szCs w:val="20"/>
        </w:rPr>
      </w:pPr>
      <w:r w:rsidRPr="00C33CA3">
        <w:rPr>
          <w:rFonts w:asciiTheme="majorHAnsi" w:hAnsiTheme="majorHAnsi"/>
          <w:sz w:val="20"/>
          <w:szCs w:val="20"/>
        </w:rPr>
        <w:lastRenderedPageBreak/>
        <w:t xml:space="preserve">Guidolin, M., and Timmermann, A., (2005) “Economic Implications of Bull and Bear Regimes in UK Stock and Bond Returns” </w:t>
      </w:r>
      <w:r w:rsidRPr="00C33CA3">
        <w:rPr>
          <w:rFonts w:asciiTheme="majorHAnsi" w:hAnsiTheme="majorHAnsi"/>
          <w:i/>
          <w:sz w:val="20"/>
          <w:szCs w:val="20"/>
        </w:rPr>
        <w:t>The Economic Journal</w:t>
      </w:r>
      <w:r w:rsidRPr="00C33CA3">
        <w:rPr>
          <w:rFonts w:asciiTheme="majorHAnsi" w:hAnsiTheme="majorHAnsi"/>
          <w:sz w:val="20"/>
          <w:szCs w:val="20"/>
        </w:rPr>
        <w:t>, 115</w:t>
      </w:r>
      <w:r>
        <w:rPr>
          <w:rFonts w:asciiTheme="majorHAnsi" w:hAnsiTheme="majorHAnsi"/>
          <w:sz w:val="20"/>
          <w:szCs w:val="20"/>
        </w:rPr>
        <w:t>(500)</w:t>
      </w:r>
      <w:r w:rsidRPr="00C33CA3">
        <w:rPr>
          <w:rFonts w:asciiTheme="majorHAnsi" w:hAnsiTheme="majorHAnsi"/>
          <w:sz w:val="20"/>
          <w:szCs w:val="20"/>
        </w:rPr>
        <w:t>, 111-143</w:t>
      </w:r>
    </w:p>
    <w:p w:rsidR="00C33CA3" w:rsidRDefault="00C33CA3" w:rsidP="00561A65">
      <w:pPr>
        <w:pStyle w:val="Nessunaspaziatura"/>
        <w:jc w:val="both"/>
        <w:rPr>
          <w:rFonts w:asciiTheme="majorHAnsi" w:hAnsiTheme="majorHAnsi"/>
          <w:sz w:val="20"/>
          <w:szCs w:val="20"/>
        </w:rPr>
      </w:pPr>
    </w:p>
    <w:p w:rsidR="00561A65" w:rsidRPr="00724F7E" w:rsidRDefault="00561A65" w:rsidP="00561A65">
      <w:pPr>
        <w:pStyle w:val="Nessunaspaziatura"/>
        <w:jc w:val="both"/>
        <w:rPr>
          <w:rFonts w:asciiTheme="majorHAnsi" w:hAnsiTheme="majorHAnsi"/>
          <w:sz w:val="20"/>
          <w:szCs w:val="20"/>
        </w:rPr>
      </w:pPr>
      <w:r w:rsidRPr="00724F7E">
        <w:rPr>
          <w:rFonts w:asciiTheme="majorHAnsi" w:hAnsiTheme="majorHAnsi"/>
          <w:sz w:val="20"/>
          <w:szCs w:val="20"/>
        </w:rPr>
        <w:t xml:space="preserve">Gulko, L., (2002) </w:t>
      </w:r>
      <w:bookmarkStart w:id="1" w:name="Result_7"/>
      <w:r w:rsidRPr="00724F7E">
        <w:rPr>
          <w:rFonts w:asciiTheme="majorHAnsi" w:hAnsiTheme="majorHAnsi"/>
          <w:sz w:val="20"/>
          <w:szCs w:val="20"/>
        </w:rPr>
        <w:t>“Decoupling</w:t>
      </w:r>
      <w:bookmarkEnd w:id="1"/>
      <w:r w:rsidRPr="00724F7E">
        <w:rPr>
          <w:rFonts w:asciiTheme="majorHAnsi" w:hAnsiTheme="majorHAnsi"/>
          <w:sz w:val="20"/>
          <w:szCs w:val="20"/>
        </w:rPr>
        <w:t xml:space="preserve">” </w:t>
      </w:r>
      <w:r w:rsidRPr="00724F7E">
        <w:rPr>
          <w:rFonts w:asciiTheme="majorHAnsi" w:hAnsiTheme="majorHAnsi"/>
          <w:bCs/>
          <w:i/>
          <w:sz w:val="20"/>
          <w:szCs w:val="20"/>
        </w:rPr>
        <w:t>Journal of Portfolio Management</w:t>
      </w:r>
      <w:r w:rsidRPr="00724F7E">
        <w:rPr>
          <w:rFonts w:asciiTheme="majorHAnsi" w:hAnsiTheme="majorHAnsi"/>
          <w:sz w:val="20"/>
          <w:szCs w:val="20"/>
        </w:rPr>
        <w:t xml:space="preserve"> 28(3), 59-66</w:t>
      </w:r>
    </w:p>
    <w:p w:rsidR="00561A65" w:rsidRPr="00724F7E" w:rsidRDefault="00561A65" w:rsidP="00561A65">
      <w:pPr>
        <w:pStyle w:val="Nessunaspaziatura"/>
        <w:jc w:val="both"/>
        <w:rPr>
          <w:rFonts w:asciiTheme="majorHAnsi" w:hAnsiTheme="majorHAnsi"/>
          <w:sz w:val="20"/>
          <w:szCs w:val="20"/>
        </w:rPr>
      </w:pPr>
    </w:p>
    <w:p w:rsidR="00561A65" w:rsidRPr="00724F7E" w:rsidRDefault="00561A65" w:rsidP="00561A65">
      <w:pPr>
        <w:pStyle w:val="Nessunaspaziatura"/>
        <w:jc w:val="both"/>
        <w:rPr>
          <w:rFonts w:asciiTheme="majorHAnsi" w:hAnsiTheme="majorHAnsi"/>
          <w:sz w:val="20"/>
          <w:szCs w:val="20"/>
        </w:rPr>
      </w:pPr>
      <w:r w:rsidRPr="00724F7E">
        <w:rPr>
          <w:rFonts w:asciiTheme="majorHAnsi" w:hAnsiTheme="majorHAnsi"/>
          <w:sz w:val="20"/>
          <w:szCs w:val="20"/>
        </w:rPr>
        <w:t xml:space="preserve">Ilmanen, A., (2003) “Stock-bond correlations” </w:t>
      </w:r>
      <w:r w:rsidRPr="00724F7E">
        <w:rPr>
          <w:rFonts w:asciiTheme="majorHAnsi" w:hAnsiTheme="majorHAnsi"/>
          <w:i/>
          <w:sz w:val="20"/>
          <w:szCs w:val="20"/>
        </w:rPr>
        <w:t>Journal of Fixed Income</w:t>
      </w:r>
      <w:r w:rsidRPr="00724F7E">
        <w:rPr>
          <w:rFonts w:asciiTheme="majorHAnsi" w:hAnsiTheme="majorHAnsi"/>
          <w:sz w:val="20"/>
          <w:szCs w:val="20"/>
        </w:rPr>
        <w:t xml:space="preserve"> 12(2), 55-66</w:t>
      </w:r>
    </w:p>
    <w:p w:rsidR="00561A65" w:rsidRPr="00C871B2" w:rsidRDefault="00561A65" w:rsidP="00561A65">
      <w:pPr>
        <w:pStyle w:val="Nessunaspaziatura"/>
        <w:jc w:val="both"/>
        <w:rPr>
          <w:rFonts w:asciiTheme="majorHAnsi" w:hAnsiTheme="majorHAnsi"/>
          <w:sz w:val="20"/>
          <w:szCs w:val="20"/>
        </w:rPr>
      </w:pPr>
    </w:p>
    <w:p w:rsidR="00C871B2" w:rsidRDefault="00C871B2" w:rsidP="00561A65">
      <w:pPr>
        <w:pStyle w:val="Nessunaspaziatura"/>
        <w:jc w:val="both"/>
        <w:rPr>
          <w:rFonts w:asciiTheme="majorHAnsi" w:hAnsiTheme="majorHAnsi"/>
          <w:sz w:val="20"/>
          <w:szCs w:val="20"/>
        </w:rPr>
      </w:pPr>
      <w:r w:rsidRPr="00C871B2">
        <w:rPr>
          <w:rFonts w:asciiTheme="majorHAnsi" w:hAnsiTheme="majorHAnsi"/>
          <w:sz w:val="20"/>
          <w:szCs w:val="20"/>
        </w:rPr>
        <w:t xml:space="preserve">Jones, C. P., and Wilson, J. W., (2004) “The Changing Nature of Stock and Bond Volatility” </w:t>
      </w:r>
      <w:r w:rsidRPr="00C871B2">
        <w:rPr>
          <w:rFonts w:asciiTheme="majorHAnsi" w:hAnsiTheme="majorHAnsi"/>
          <w:i/>
          <w:sz w:val="20"/>
          <w:szCs w:val="20"/>
        </w:rPr>
        <w:t>Financial Analysts Journal</w:t>
      </w:r>
      <w:r w:rsidRPr="00C871B2">
        <w:rPr>
          <w:rFonts w:asciiTheme="majorHAnsi" w:hAnsiTheme="majorHAnsi"/>
          <w:sz w:val="20"/>
          <w:szCs w:val="20"/>
        </w:rPr>
        <w:t xml:space="preserve"> 60(1), 100-113</w:t>
      </w:r>
    </w:p>
    <w:p w:rsidR="00C871B2" w:rsidRDefault="00C871B2" w:rsidP="00561A65">
      <w:pPr>
        <w:pStyle w:val="Nessunaspaziatura"/>
        <w:jc w:val="both"/>
        <w:rPr>
          <w:rFonts w:asciiTheme="majorHAnsi" w:hAnsiTheme="majorHAnsi"/>
          <w:sz w:val="20"/>
          <w:szCs w:val="20"/>
        </w:rPr>
      </w:pPr>
    </w:p>
    <w:p w:rsidR="00561A65" w:rsidRDefault="00561A65" w:rsidP="00561A65">
      <w:pPr>
        <w:pStyle w:val="Nessunaspaziatura"/>
        <w:jc w:val="both"/>
        <w:rPr>
          <w:rFonts w:asciiTheme="majorHAnsi" w:hAnsiTheme="majorHAnsi"/>
          <w:sz w:val="20"/>
          <w:szCs w:val="20"/>
        </w:rPr>
      </w:pPr>
      <w:r w:rsidRPr="00724F7E">
        <w:rPr>
          <w:rFonts w:asciiTheme="majorHAnsi" w:hAnsiTheme="majorHAnsi"/>
          <w:sz w:val="20"/>
          <w:szCs w:val="20"/>
        </w:rPr>
        <w:t xml:space="preserve">Kamara, A., (1994) “Liquidity, taxes, and short-term Treasury yields” </w:t>
      </w:r>
      <w:r w:rsidRPr="00C871B2">
        <w:rPr>
          <w:rFonts w:asciiTheme="majorHAnsi" w:hAnsiTheme="majorHAnsi"/>
          <w:i/>
          <w:sz w:val="20"/>
          <w:szCs w:val="20"/>
        </w:rPr>
        <w:t>Journal of Financial</w:t>
      </w:r>
      <w:r w:rsidRPr="00C871B2">
        <w:rPr>
          <w:rFonts w:asciiTheme="majorHAnsi" w:hAnsiTheme="majorHAnsi"/>
          <w:sz w:val="20"/>
          <w:szCs w:val="20"/>
        </w:rPr>
        <w:t xml:space="preserve"> a</w:t>
      </w:r>
      <w:r w:rsidRPr="00724F7E">
        <w:rPr>
          <w:rFonts w:asciiTheme="majorHAnsi" w:hAnsiTheme="majorHAnsi"/>
          <w:i/>
          <w:sz w:val="20"/>
          <w:szCs w:val="20"/>
        </w:rPr>
        <w:t>nd Quantitative Analysis</w:t>
      </w:r>
      <w:r w:rsidRPr="00724F7E">
        <w:rPr>
          <w:rFonts w:asciiTheme="majorHAnsi" w:hAnsiTheme="majorHAnsi"/>
          <w:sz w:val="20"/>
          <w:szCs w:val="20"/>
        </w:rPr>
        <w:t xml:space="preserve"> 29(3), 403–417</w:t>
      </w:r>
    </w:p>
    <w:p w:rsidR="00561A65" w:rsidRDefault="00561A65" w:rsidP="00561A65">
      <w:pPr>
        <w:shd w:val="clear" w:color="auto" w:fill="FFFFFF"/>
        <w:spacing w:after="0" w:line="210" w:lineRule="atLeast"/>
        <w:jc w:val="both"/>
        <w:rPr>
          <w:rFonts w:asciiTheme="majorHAnsi" w:hAnsiTheme="majorHAnsi"/>
          <w:sz w:val="20"/>
          <w:szCs w:val="20"/>
        </w:rPr>
      </w:pPr>
    </w:p>
    <w:p w:rsidR="004652E9" w:rsidRPr="004652E9" w:rsidRDefault="004652E9" w:rsidP="004652E9">
      <w:pPr>
        <w:autoSpaceDE w:val="0"/>
        <w:autoSpaceDN w:val="0"/>
        <w:adjustRightInd w:val="0"/>
        <w:spacing w:after="0" w:line="240" w:lineRule="auto"/>
        <w:rPr>
          <w:rFonts w:asciiTheme="majorHAnsi" w:hAnsiTheme="majorHAnsi"/>
          <w:sz w:val="20"/>
          <w:szCs w:val="20"/>
        </w:rPr>
      </w:pPr>
      <w:r>
        <w:rPr>
          <w:rFonts w:asciiTheme="majorHAnsi" w:hAnsiTheme="majorHAnsi"/>
          <w:sz w:val="20"/>
          <w:szCs w:val="20"/>
        </w:rPr>
        <w:t>Kim</w:t>
      </w:r>
      <w:r w:rsidRPr="00724F7E">
        <w:rPr>
          <w:rFonts w:asciiTheme="majorHAnsi" w:hAnsiTheme="majorHAnsi"/>
          <w:sz w:val="20"/>
          <w:szCs w:val="20"/>
        </w:rPr>
        <w:t xml:space="preserve">, </w:t>
      </w:r>
      <w:r>
        <w:rPr>
          <w:rFonts w:asciiTheme="majorHAnsi" w:hAnsiTheme="majorHAnsi"/>
          <w:sz w:val="20"/>
          <w:szCs w:val="20"/>
        </w:rPr>
        <w:t>S.-J</w:t>
      </w:r>
      <w:r w:rsidRPr="00724F7E">
        <w:rPr>
          <w:rFonts w:asciiTheme="majorHAnsi" w:hAnsiTheme="majorHAnsi"/>
          <w:sz w:val="20"/>
          <w:szCs w:val="20"/>
        </w:rPr>
        <w:t>.,</w:t>
      </w:r>
      <w:r>
        <w:rPr>
          <w:rFonts w:asciiTheme="majorHAnsi" w:hAnsiTheme="majorHAnsi"/>
          <w:sz w:val="20"/>
          <w:szCs w:val="20"/>
        </w:rPr>
        <w:t xml:space="preserve"> </w:t>
      </w:r>
      <w:r w:rsidRPr="004652E9">
        <w:rPr>
          <w:rFonts w:asciiTheme="majorHAnsi" w:hAnsiTheme="majorHAnsi"/>
          <w:sz w:val="20"/>
          <w:szCs w:val="20"/>
        </w:rPr>
        <w:t>Moshirian, F.,</w:t>
      </w:r>
      <w:r w:rsidRPr="00724F7E">
        <w:rPr>
          <w:rFonts w:asciiTheme="majorHAnsi" w:hAnsiTheme="majorHAnsi"/>
          <w:sz w:val="20"/>
          <w:szCs w:val="20"/>
        </w:rPr>
        <w:t xml:space="preserve"> and </w:t>
      </w:r>
      <w:r w:rsidRPr="004652E9">
        <w:rPr>
          <w:rFonts w:asciiTheme="majorHAnsi" w:hAnsiTheme="majorHAnsi"/>
          <w:sz w:val="20"/>
          <w:szCs w:val="20"/>
        </w:rPr>
        <w:t>Wu,</w:t>
      </w:r>
      <w:r w:rsidRPr="00724F7E">
        <w:rPr>
          <w:rFonts w:asciiTheme="majorHAnsi" w:hAnsiTheme="majorHAnsi"/>
          <w:sz w:val="20"/>
          <w:szCs w:val="20"/>
        </w:rPr>
        <w:t xml:space="preserve"> </w:t>
      </w:r>
      <w:r w:rsidRPr="004652E9">
        <w:rPr>
          <w:rFonts w:asciiTheme="majorHAnsi" w:hAnsiTheme="majorHAnsi"/>
          <w:sz w:val="20"/>
          <w:szCs w:val="20"/>
        </w:rPr>
        <w:t>E.,</w:t>
      </w:r>
      <w:r w:rsidRPr="00724F7E">
        <w:rPr>
          <w:rFonts w:asciiTheme="majorHAnsi" w:hAnsiTheme="majorHAnsi"/>
          <w:sz w:val="20"/>
          <w:szCs w:val="20"/>
        </w:rPr>
        <w:t xml:space="preserve"> </w:t>
      </w:r>
      <w:r>
        <w:rPr>
          <w:rFonts w:asciiTheme="majorHAnsi" w:hAnsiTheme="majorHAnsi"/>
          <w:sz w:val="20"/>
          <w:szCs w:val="20"/>
        </w:rPr>
        <w:t>(2006</w:t>
      </w:r>
      <w:r w:rsidRPr="00724F7E">
        <w:rPr>
          <w:rFonts w:asciiTheme="majorHAnsi" w:hAnsiTheme="majorHAnsi"/>
          <w:sz w:val="20"/>
          <w:szCs w:val="20"/>
        </w:rPr>
        <w:t>) “</w:t>
      </w:r>
      <w:r w:rsidRPr="004652E9">
        <w:rPr>
          <w:rFonts w:asciiTheme="majorHAnsi" w:hAnsiTheme="majorHAnsi"/>
          <w:sz w:val="20"/>
          <w:szCs w:val="20"/>
        </w:rPr>
        <w:t>Evolution of international stockand bond market integration: Influence of the European Monetary Union</w:t>
      </w:r>
      <w:r w:rsidRPr="00724F7E">
        <w:rPr>
          <w:rFonts w:asciiTheme="majorHAnsi" w:hAnsiTheme="majorHAnsi"/>
          <w:sz w:val="20"/>
          <w:szCs w:val="20"/>
        </w:rPr>
        <w:t>” </w:t>
      </w:r>
      <w:r w:rsidRPr="004652E9">
        <w:rPr>
          <w:rFonts w:asciiTheme="majorHAnsi" w:hAnsiTheme="majorHAnsi"/>
          <w:i/>
          <w:sz w:val="20"/>
          <w:szCs w:val="20"/>
        </w:rPr>
        <w:t>Journal of Banking &amp; Finance</w:t>
      </w:r>
      <w:r w:rsidRPr="00724F7E">
        <w:rPr>
          <w:rFonts w:asciiTheme="majorHAnsi" w:hAnsiTheme="majorHAnsi"/>
          <w:sz w:val="20"/>
          <w:szCs w:val="20"/>
        </w:rPr>
        <w:t xml:space="preserve"> </w:t>
      </w:r>
      <w:r w:rsidRPr="004652E9">
        <w:rPr>
          <w:rFonts w:asciiTheme="majorHAnsi" w:hAnsiTheme="majorHAnsi"/>
          <w:sz w:val="20"/>
          <w:szCs w:val="20"/>
        </w:rPr>
        <w:t>30</w:t>
      </w:r>
      <w:r>
        <w:rPr>
          <w:rFonts w:asciiTheme="majorHAnsi" w:hAnsiTheme="majorHAnsi"/>
          <w:sz w:val="20"/>
          <w:szCs w:val="20"/>
        </w:rPr>
        <w:t>(5</w:t>
      </w:r>
      <w:r w:rsidRPr="00724F7E">
        <w:rPr>
          <w:rFonts w:asciiTheme="majorHAnsi" w:hAnsiTheme="majorHAnsi"/>
          <w:sz w:val="20"/>
          <w:szCs w:val="20"/>
        </w:rPr>
        <w:t>),</w:t>
      </w:r>
      <w:r>
        <w:rPr>
          <w:rFonts w:asciiTheme="majorHAnsi" w:hAnsiTheme="majorHAnsi"/>
          <w:sz w:val="20"/>
          <w:szCs w:val="20"/>
        </w:rPr>
        <w:t xml:space="preserve"> </w:t>
      </w:r>
      <w:r w:rsidRPr="004652E9">
        <w:rPr>
          <w:rFonts w:asciiTheme="majorHAnsi" w:hAnsiTheme="majorHAnsi"/>
          <w:sz w:val="20"/>
          <w:szCs w:val="20"/>
        </w:rPr>
        <w:t>1507–1534</w:t>
      </w:r>
    </w:p>
    <w:p w:rsidR="004652E9" w:rsidRPr="00724F7E" w:rsidRDefault="004652E9" w:rsidP="00561A65">
      <w:pPr>
        <w:shd w:val="clear" w:color="auto" w:fill="FFFFFF"/>
        <w:spacing w:after="0" w:line="210" w:lineRule="atLeast"/>
        <w:jc w:val="both"/>
        <w:rPr>
          <w:rFonts w:asciiTheme="majorHAnsi" w:hAnsiTheme="majorHAnsi"/>
          <w:sz w:val="20"/>
          <w:szCs w:val="20"/>
        </w:rPr>
      </w:pPr>
    </w:p>
    <w:p w:rsidR="00561A65" w:rsidRPr="00724F7E" w:rsidRDefault="00561A65" w:rsidP="00561A65">
      <w:pPr>
        <w:shd w:val="clear" w:color="auto" w:fill="FFFFFF"/>
        <w:spacing w:after="0" w:line="210" w:lineRule="atLeast"/>
        <w:jc w:val="both"/>
        <w:rPr>
          <w:rFonts w:asciiTheme="majorHAnsi" w:hAnsiTheme="majorHAnsi"/>
          <w:sz w:val="20"/>
          <w:szCs w:val="20"/>
        </w:rPr>
      </w:pPr>
      <w:r w:rsidRPr="00724F7E">
        <w:rPr>
          <w:rFonts w:asciiTheme="majorHAnsi" w:hAnsiTheme="majorHAnsi"/>
          <w:sz w:val="20"/>
          <w:szCs w:val="20"/>
        </w:rPr>
        <w:t>Lekkos, I., and Milas, C. (2004) “Time-Varying Excess Returns on UK Government Bonds: A Non-linear Approach” </w:t>
      </w:r>
      <w:r w:rsidRPr="00724F7E">
        <w:rPr>
          <w:rFonts w:asciiTheme="majorHAnsi" w:hAnsiTheme="majorHAnsi"/>
          <w:i/>
          <w:iCs/>
          <w:sz w:val="20"/>
          <w:szCs w:val="20"/>
        </w:rPr>
        <w:t>Journal of Banking &amp; Finance</w:t>
      </w:r>
      <w:r w:rsidRPr="00724F7E">
        <w:rPr>
          <w:rFonts w:asciiTheme="majorHAnsi" w:hAnsiTheme="majorHAnsi"/>
          <w:sz w:val="20"/>
          <w:szCs w:val="20"/>
        </w:rPr>
        <w:t xml:space="preserve"> </w:t>
      </w:r>
      <w:r w:rsidRPr="00724F7E">
        <w:rPr>
          <w:rFonts w:asciiTheme="majorHAnsi" w:hAnsiTheme="majorHAnsi"/>
          <w:i/>
          <w:iCs/>
          <w:sz w:val="20"/>
          <w:szCs w:val="20"/>
        </w:rPr>
        <w:t>28</w:t>
      </w:r>
      <w:r w:rsidRPr="00724F7E">
        <w:rPr>
          <w:rFonts w:asciiTheme="majorHAnsi" w:hAnsiTheme="majorHAnsi"/>
          <w:sz w:val="20"/>
          <w:szCs w:val="20"/>
        </w:rPr>
        <w:t>(1), 45-62</w:t>
      </w:r>
    </w:p>
    <w:p w:rsidR="00561A65" w:rsidRPr="00724F7E" w:rsidRDefault="00561A65" w:rsidP="00561A65">
      <w:pPr>
        <w:shd w:val="clear" w:color="auto" w:fill="FFFFFF"/>
        <w:spacing w:after="0" w:line="210" w:lineRule="atLeast"/>
        <w:jc w:val="both"/>
        <w:rPr>
          <w:rFonts w:asciiTheme="majorHAnsi" w:hAnsiTheme="majorHAnsi"/>
          <w:sz w:val="20"/>
          <w:szCs w:val="20"/>
        </w:rPr>
      </w:pPr>
    </w:p>
    <w:p w:rsidR="00561A65" w:rsidRPr="00724F7E" w:rsidRDefault="00561A65" w:rsidP="00561A65">
      <w:pPr>
        <w:shd w:val="clear" w:color="auto" w:fill="FFFFFF"/>
        <w:spacing w:after="0" w:line="210" w:lineRule="atLeast"/>
        <w:jc w:val="both"/>
        <w:rPr>
          <w:rFonts w:asciiTheme="majorHAnsi" w:hAnsiTheme="majorHAnsi"/>
          <w:sz w:val="20"/>
          <w:szCs w:val="20"/>
        </w:rPr>
      </w:pPr>
      <w:r w:rsidRPr="00724F7E">
        <w:rPr>
          <w:rFonts w:asciiTheme="majorHAnsi" w:hAnsiTheme="majorHAnsi"/>
          <w:sz w:val="20"/>
          <w:szCs w:val="20"/>
        </w:rPr>
        <w:t>Lemmen J. J. G., and Goodhart, C. A. E., (1999) “Credit Risks and European Government Bond Markets: A Panel Data Econometric Analysis”</w:t>
      </w:r>
      <w:r w:rsidRPr="00724F7E">
        <w:rPr>
          <w:rFonts w:ascii="Arial" w:hAnsi="Arial" w:cs="Arial"/>
          <w:sz w:val="20"/>
          <w:szCs w:val="20"/>
        </w:rPr>
        <w:t xml:space="preserve"> </w:t>
      </w:r>
      <w:r w:rsidRPr="00724F7E">
        <w:rPr>
          <w:rFonts w:asciiTheme="majorHAnsi" w:hAnsiTheme="majorHAnsi"/>
          <w:i/>
          <w:sz w:val="20"/>
          <w:szCs w:val="20"/>
        </w:rPr>
        <w:t>Eastern Economic Journal</w:t>
      </w:r>
      <w:r w:rsidRPr="00724F7E">
        <w:rPr>
          <w:rFonts w:asciiTheme="majorHAnsi" w:hAnsiTheme="majorHAnsi"/>
          <w:sz w:val="20"/>
          <w:szCs w:val="20"/>
        </w:rPr>
        <w:t xml:space="preserve"> 25(1), 77-107</w:t>
      </w:r>
    </w:p>
    <w:p w:rsidR="00561A65" w:rsidRPr="00724F7E" w:rsidRDefault="00561A65" w:rsidP="00561A65">
      <w:pPr>
        <w:pStyle w:val="Nessunaspaziatura"/>
        <w:jc w:val="both"/>
        <w:rPr>
          <w:rFonts w:asciiTheme="majorHAnsi" w:hAnsiTheme="majorHAnsi"/>
          <w:sz w:val="20"/>
          <w:szCs w:val="20"/>
        </w:rPr>
      </w:pPr>
    </w:p>
    <w:p w:rsidR="00561A65" w:rsidRPr="00724F7E" w:rsidRDefault="00561A65" w:rsidP="00561A65">
      <w:pPr>
        <w:pStyle w:val="Nessunaspaziatura"/>
        <w:jc w:val="both"/>
        <w:rPr>
          <w:rFonts w:asciiTheme="majorHAnsi" w:hAnsiTheme="majorHAnsi"/>
          <w:sz w:val="20"/>
          <w:szCs w:val="20"/>
        </w:rPr>
      </w:pPr>
      <w:r w:rsidRPr="00724F7E">
        <w:rPr>
          <w:rFonts w:asciiTheme="majorHAnsi" w:hAnsiTheme="majorHAnsi"/>
          <w:sz w:val="20"/>
          <w:szCs w:val="20"/>
        </w:rPr>
        <w:t>Li, X., and Zou, L., (2008) “How Do Policy and Information Shocks Impact Co-movements of China's T-Bond and Stock Markets?” </w:t>
      </w:r>
      <w:r w:rsidRPr="00724F7E">
        <w:rPr>
          <w:rFonts w:asciiTheme="majorHAnsi" w:hAnsiTheme="majorHAnsi"/>
          <w:i/>
          <w:iCs/>
          <w:sz w:val="20"/>
          <w:szCs w:val="20"/>
        </w:rPr>
        <w:t xml:space="preserve">Journal of Banking &amp; Finance </w:t>
      </w:r>
      <w:r w:rsidRPr="00724F7E">
        <w:rPr>
          <w:rFonts w:asciiTheme="majorHAnsi" w:hAnsiTheme="majorHAnsi"/>
          <w:iCs/>
          <w:sz w:val="20"/>
          <w:szCs w:val="20"/>
        </w:rPr>
        <w:t>32</w:t>
      </w:r>
      <w:r w:rsidRPr="00724F7E">
        <w:rPr>
          <w:rFonts w:asciiTheme="majorHAnsi" w:hAnsiTheme="majorHAnsi"/>
          <w:sz w:val="20"/>
          <w:szCs w:val="20"/>
        </w:rPr>
        <w:t>(3), 347-359 </w:t>
      </w:r>
    </w:p>
    <w:p w:rsidR="00561A65" w:rsidRPr="00724F7E" w:rsidRDefault="00561A65" w:rsidP="00561A65">
      <w:pPr>
        <w:pStyle w:val="Nessunaspaziatura"/>
        <w:jc w:val="both"/>
        <w:rPr>
          <w:rFonts w:asciiTheme="majorHAnsi" w:hAnsiTheme="majorHAnsi"/>
          <w:sz w:val="20"/>
          <w:szCs w:val="20"/>
        </w:rPr>
      </w:pPr>
    </w:p>
    <w:p w:rsidR="00561A65" w:rsidRPr="00724F7E" w:rsidRDefault="00561A65" w:rsidP="00561A65">
      <w:pPr>
        <w:pStyle w:val="Nessunaspaziatura"/>
        <w:jc w:val="both"/>
        <w:rPr>
          <w:rFonts w:asciiTheme="majorHAnsi" w:hAnsiTheme="majorHAnsi"/>
          <w:sz w:val="20"/>
          <w:szCs w:val="20"/>
        </w:rPr>
      </w:pPr>
      <w:r>
        <w:rPr>
          <w:rFonts w:asciiTheme="majorHAnsi" w:hAnsiTheme="majorHAnsi"/>
          <w:sz w:val="20"/>
          <w:szCs w:val="20"/>
        </w:rPr>
        <w:t>Li, H., Wang, J., Wu, C., an</w:t>
      </w:r>
      <w:r w:rsidRPr="00724F7E">
        <w:rPr>
          <w:rFonts w:asciiTheme="majorHAnsi" w:hAnsiTheme="majorHAnsi"/>
          <w:sz w:val="20"/>
          <w:szCs w:val="20"/>
        </w:rPr>
        <w:t xml:space="preserve">d He, Y., (2009) “Are Liquidity and Information Risks Priced in the Treasury Bond Market?” </w:t>
      </w:r>
      <w:r w:rsidRPr="00724F7E">
        <w:rPr>
          <w:rFonts w:asciiTheme="majorHAnsi" w:hAnsiTheme="majorHAnsi"/>
          <w:i/>
          <w:sz w:val="20"/>
          <w:szCs w:val="20"/>
        </w:rPr>
        <w:t>The Journal of Finance</w:t>
      </w:r>
      <w:r w:rsidRPr="00724F7E">
        <w:rPr>
          <w:rFonts w:asciiTheme="majorHAnsi" w:hAnsiTheme="majorHAnsi"/>
          <w:sz w:val="20"/>
          <w:szCs w:val="20"/>
        </w:rPr>
        <w:t xml:space="preserve"> 64(1), 467-503</w:t>
      </w:r>
    </w:p>
    <w:p w:rsidR="00561A65" w:rsidRPr="00724F7E" w:rsidRDefault="00561A65" w:rsidP="00561A65">
      <w:pPr>
        <w:pStyle w:val="Nessunaspaziatura"/>
        <w:jc w:val="both"/>
        <w:rPr>
          <w:rFonts w:asciiTheme="majorHAnsi" w:hAnsiTheme="majorHAnsi"/>
          <w:sz w:val="20"/>
          <w:szCs w:val="20"/>
        </w:rPr>
      </w:pPr>
    </w:p>
    <w:p w:rsidR="00561A65" w:rsidRPr="00724F7E" w:rsidRDefault="00561A65" w:rsidP="00561A65">
      <w:pPr>
        <w:pStyle w:val="Nessunaspaziatura"/>
        <w:jc w:val="both"/>
        <w:rPr>
          <w:rFonts w:asciiTheme="majorHAnsi" w:hAnsiTheme="majorHAnsi"/>
          <w:bCs/>
          <w:sz w:val="20"/>
          <w:szCs w:val="20"/>
        </w:rPr>
      </w:pPr>
      <w:r w:rsidRPr="00724F7E">
        <w:rPr>
          <w:rFonts w:asciiTheme="majorHAnsi" w:hAnsiTheme="majorHAnsi"/>
          <w:bCs/>
          <w:sz w:val="20"/>
          <w:szCs w:val="20"/>
        </w:rPr>
        <w:t xml:space="preserve">Liu, P., Shao, Y., and Yeager, T.J., (2009) “Did the repeated debt ceiling controversies embed default risk in US Treasury Securities?” </w:t>
      </w:r>
      <w:r w:rsidRPr="00724F7E">
        <w:rPr>
          <w:rFonts w:asciiTheme="majorHAnsi" w:hAnsiTheme="majorHAnsi"/>
          <w:bCs/>
          <w:i/>
          <w:sz w:val="20"/>
          <w:szCs w:val="20"/>
        </w:rPr>
        <w:t>Journal of Banking &amp; Finance</w:t>
      </w:r>
      <w:r w:rsidRPr="00724F7E">
        <w:rPr>
          <w:rFonts w:asciiTheme="majorHAnsi" w:hAnsiTheme="majorHAnsi"/>
          <w:bCs/>
          <w:sz w:val="20"/>
          <w:szCs w:val="20"/>
        </w:rPr>
        <w:t xml:space="preserve"> 33(8), 1464–1471.</w:t>
      </w:r>
    </w:p>
    <w:p w:rsidR="00561A65" w:rsidRPr="00724F7E" w:rsidRDefault="00561A65" w:rsidP="00561A65">
      <w:pPr>
        <w:pStyle w:val="Nessunaspaziatura"/>
        <w:jc w:val="both"/>
        <w:rPr>
          <w:rFonts w:asciiTheme="majorHAnsi" w:hAnsiTheme="majorHAnsi"/>
          <w:bCs/>
          <w:sz w:val="20"/>
          <w:szCs w:val="20"/>
        </w:rPr>
      </w:pPr>
    </w:p>
    <w:p w:rsidR="00561A65" w:rsidRPr="00724F7E" w:rsidRDefault="00561A65" w:rsidP="00561A65">
      <w:pPr>
        <w:pStyle w:val="Nessunaspaziatura"/>
        <w:jc w:val="both"/>
        <w:rPr>
          <w:rFonts w:asciiTheme="majorHAnsi" w:hAnsiTheme="majorHAnsi"/>
          <w:sz w:val="20"/>
          <w:szCs w:val="20"/>
        </w:rPr>
      </w:pPr>
      <w:r w:rsidRPr="00724F7E">
        <w:rPr>
          <w:rFonts w:asciiTheme="majorHAnsi" w:hAnsiTheme="majorHAnsi"/>
          <w:bCs/>
          <w:sz w:val="20"/>
          <w:szCs w:val="20"/>
        </w:rPr>
        <w:t>Longstaff, F. A., (2000) “The term structure of very short-term rates: New evidence for the expectations hypothesis</w:t>
      </w:r>
      <w:r w:rsidRPr="00724F7E">
        <w:rPr>
          <w:rFonts w:asciiTheme="majorHAnsi" w:hAnsiTheme="majorHAnsi"/>
          <w:sz w:val="20"/>
          <w:szCs w:val="20"/>
        </w:rPr>
        <w:t>” </w:t>
      </w:r>
      <w:r w:rsidRPr="00724F7E">
        <w:rPr>
          <w:rFonts w:asciiTheme="majorHAnsi" w:hAnsiTheme="majorHAnsi"/>
          <w:i/>
          <w:sz w:val="20"/>
          <w:szCs w:val="20"/>
        </w:rPr>
        <w:t>Journal of Financial Economics</w:t>
      </w:r>
      <w:r w:rsidRPr="00724F7E">
        <w:rPr>
          <w:rFonts w:asciiTheme="majorHAnsi" w:hAnsiTheme="majorHAnsi"/>
          <w:sz w:val="20"/>
          <w:szCs w:val="20"/>
        </w:rPr>
        <w:t xml:space="preserve"> 58 (3), 397-415</w:t>
      </w:r>
    </w:p>
    <w:p w:rsidR="00561A65" w:rsidRPr="00724F7E" w:rsidRDefault="00561A65" w:rsidP="00561A65">
      <w:pPr>
        <w:pStyle w:val="Nessunaspaziatura"/>
        <w:jc w:val="both"/>
        <w:rPr>
          <w:rFonts w:asciiTheme="majorHAnsi" w:hAnsiTheme="majorHAnsi"/>
          <w:sz w:val="20"/>
          <w:szCs w:val="20"/>
        </w:rPr>
      </w:pPr>
    </w:p>
    <w:p w:rsidR="00561A65" w:rsidRPr="00724F7E" w:rsidRDefault="00561A65" w:rsidP="00561A65">
      <w:pPr>
        <w:pStyle w:val="Nessunaspaziatura"/>
        <w:jc w:val="both"/>
        <w:rPr>
          <w:rFonts w:asciiTheme="majorHAnsi" w:hAnsiTheme="majorHAnsi"/>
          <w:sz w:val="20"/>
          <w:szCs w:val="20"/>
        </w:rPr>
      </w:pPr>
      <w:r w:rsidRPr="00724F7E">
        <w:rPr>
          <w:rFonts w:asciiTheme="majorHAnsi" w:hAnsiTheme="majorHAnsi"/>
          <w:sz w:val="20"/>
          <w:szCs w:val="20"/>
        </w:rPr>
        <w:t xml:space="preserve">Longstaff, F. A., (2004) “The Flight-to-Liquidity Premium in U.S. Treasury Bond Prices” </w:t>
      </w:r>
      <w:r w:rsidRPr="00724F7E">
        <w:rPr>
          <w:rFonts w:asciiTheme="majorHAnsi" w:hAnsiTheme="majorHAnsi"/>
          <w:i/>
          <w:sz w:val="20"/>
          <w:szCs w:val="20"/>
        </w:rPr>
        <w:t>Journal of Business</w:t>
      </w:r>
      <w:r w:rsidRPr="00724F7E">
        <w:rPr>
          <w:rFonts w:asciiTheme="majorHAnsi" w:hAnsiTheme="majorHAnsi"/>
          <w:sz w:val="20"/>
          <w:szCs w:val="20"/>
        </w:rPr>
        <w:t xml:space="preserve"> 77(3), 511-526</w:t>
      </w:r>
    </w:p>
    <w:p w:rsidR="00561A65" w:rsidRDefault="00561A65" w:rsidP="00561A65">
      <w:pPr>
        <w:pStyle w:val="Nessunaspaziatura"/>
        <w:jc w:val="both"/>
        <w:rPr>
          <w:rFonts w:asciiTheme="majorHAnsi" w:hAnsiTheme="majorHAnsi"/>
          <w:sz w:val="20"/>
          <w:szCs w:val="20"/>
        </w:rPr>
      </w:pPr>
    </w:p>
    <w:p w:rsidR="00D564AC" w:rsidRPr="00724F7E" w:rsidRDefault="00D564AC" w:rsidP="00D564AC">
      <w:pPr>
        <w:pStyle w:val="Nessunaspaziatura"/>
        <w:jc w:val="both"/>
        <w:rPr>
          <w:rFonts w:asciiTheme="majorHAnsi" w:hAnsiTheme="majorHAnsi"/>
          <w:sz w:val="20"/>
          <w:szCs w:val="20"/>
        </w:rPr>
      </w:pPr>
      <w:r w:rsidRPr="000A237A">
        <w:rPr>
          <w:rFonts w:asciiTheme="majorHAnsi" w:hAnsiTheme="majorHAnsi"/>
          <w:sz w:val="20"/>
          <w:szCs w:val="20"/>
        </w:rPr>
        <w:t>Maltritz</w:t>
      </w:r>
      <w:r>
        <w:rPr>
          <w:rFonts w:asciiTheme="majorHAnsi" w:hAnsiTheme="majorHAnsi"/>
          <w:sz w:val="20"/>
          <w:szCs w:val="20"/>
        </w:rPr>
        <w:t>, D</w:t>
      </w:r>
      <w:r w:rsidRPr="00724F7E">
        <w:rPr>
          <w:rFonts w:asciiTheme="majorHAnsi" w:hAnsiTheme="majorHAnsi"/>
          <w:sz w:val="20"/>
          <w:szCs w:val="20"/>
        </w:rPr>
        <w:t>.,</w:t>
      </w:r>
      <w:r>
        <w:rPr>
          <w:rFonts w:asciiTheme="majorHAnsi" w:hAnsiTheme="majorHAnsi"/>
          <w:sz w:val="20"/>
          <w:szCs w:val="20"/>
        </w:rPr>
        <w:t xml:space="preserve"> and</w:t>
      </w:r>
      <w:r w:rsidRPr="00724F7E">
        <w:rPr>
          <w:rFonts w:asciiTheme="majorHAnsi" w:hAnsiTheme="majorHAnsi"/>
          <w:sz w:val="20"/>
          <w:szCs w:val="20"/>
        </w:rPr>
        <w:t xml:space="preserve"> </w:t>
      </w:r>
      <w:r w:rsidRPr="000A237A">
        <w:rPr>
          <w:rFonts w:asciiTheme="majorHAnsi" w:hAnsiTheme="majorHAnsi"/>
          <w:sz w:val="20"/>
          <w:szCs w:val="20"/>
        </w:rPr>
        <w:t>Molchanov</w:t>
      </w:r>
      <w:r>
        <w:rPr>
          <w:rFonts w:asciiTheme="majorHAnsi" w:hAnsiTheme="majorHAnsi"/>
          <w:sz w:val="20"/>
          <w:szCs w:val="20"/>
        </w:rPr>
        <w:t>, A., (2013</w:t>
      </w:r>
      <w:r w:rsidRPr="00724F7E">
        <w:rPr>
          <w:rFonts w:asciiTheme="majorHAnsi" w:hAnsiTheme="majorHAnsi"/>
          <w:sz w:val="20"/>
          <w:szCs w:val="20"/>
        </w:rPr>
        <w:t>) “</w:t>
      </w:r>
      <w:r w:rsidRPr="000A237A">
        <w:rPr>
          <w:rFonts w:asciiTheme="majorHAnsi" w:hAnsiTheme="majorHAnsi"/>
          <w:sz w:val="20"/>
          <w:szCs w:val="20"/>
        </w:rPr>
        <w:t>Analyzing determinants of bond yield spreads with Bayesian Model Averaging</w:t>
      </w:r>
      <w:r w:rsidRPr="00724F7E">
        <w:rPr>
          <w:rFonts w:asciiTheme="majorHAnsi" w:hAnsiTheme="majorHAnsi"/>
          <w:sz w:val="20"/>
          <w:szCs w:val="20"/>
        </w:rPr>
        <w:t xml:space="preserve">” </w:t>
      </w:r>
      <w:r w:rsidRPr="000A237A">
        <w:rPr>
          <w:rFonts w:asciiTheme="majorHAnsi" w:hAnsiTheme="majorHAnsi"/>
          <w:i/>
          <w:sz w:val="20"/>
          <w:szCs w:val="20"/>
        </w:rPr>
        <w:t>Journal of Banking &amp; Finance</w:t>
      </w:r>
      <w:r>
        <w:rPr>
          <w:rFonts w:asciiTheme="majorHAnsi" w:hAnsiTheme="majorHAnsi"/>
          <w:sz w:val="20"/>
          <w:szCs w:val="20"/>
        </w:rPr>
        <w:t xml:space="preserve"> 37</w:t>
      </w:r>
      <w:r w:rsidR="00024E63">
        <w:rPr>
          <w:rFonts w:asciiTheme="majorHAnsi" w:hAnsiTheme="majorHAnsi"/>
          <w:sz w:val="20"/>
          <w:szCs w:val="20"/>
        </w:rPr>
        <w:t>(12</w:t>
      </w:r>
      <w:r w:rsidRPr="00724F7E">
        <w:rPr>
          <w:rFonts w:asciiTheme="majorHAnsi" w:hAnsiTheme="majorHAnsi"/>
          <w:sz w:val="20"/>
          <w:szCs w:val="20"/>
        </w:rPr>
        <w:t xml:space="preserve">), </w:t>
      </w:r>
      <w:r w:rsidRPr="000A237A">
        <w:rPr>
          <w:rFonts w:asciiTheme="majorHAnsi" w:hAnsiTheme="majorHAnsi"/>
          <w:sz w:val="20"/>
          <w:szCs w:val="20"/>
        </w:rPr>
        <w:t>5275–5284</w:t>
      </w:r>
    </w:p>
    <w:p w:rsidR="00D564AC" w:rsidRPr="00724F7E" w:rsidRDefault="00D564AC" w:rsidP="00203CFB">
      <w:pPr>
        <w:pStyle w:val="Nessunaspaziatura"/>
      </w:pPr>
    </w:p>
    <w:p w:rsidR="00561A65" w:rsidRDefault="00561A65" w:rsidP="00203CFB">
      <w:pPr>
        <w:pStyle w:val="Nessunaspaziatura"/>
        <w:rPr>
          <w:rFonts w:asciiTheme="majorHAnsi" w:hAnsiTheme="majorHAnsi"/>
          <w:sz w:val="20"/>
          <w:szCs w:val="20"/>
        </w:rPr>
      </w:pPr>
      <w:r w:rsidRPr="00203CFB">
        <w:rPr>
          <w:rFonts w:asciiTheme="majorHAnsi" w:hAnsiTheme="majorHAnsi"/>
          <w:sz w:val="20"/>
          <w:szCs w:val="20"/>
        </w:rPr>
        <w:t>Manganelli, S., and Wolswijk</w:t>
      </w:r>
      <w:r w:rsidR="00A56DA9" w:rsidRPr="00203CFB">
        <w:rPr>
          <w:rFonts w:asciiTheme="majorHAnsi" w:hAnsiTheme="majorHAnsi"/>
          <w:sz w:val="20"/>
          <w:szCs w:val="20"/>
        </w:rPr>
        <w:t>,</w:t>
      </w:r>
      <w:r w:rsidRPr="00203CFB">
        <w:rPr>
          <w:rFonts w:asciiTheme="majorHAnsi" w:hAnsiTheme="majorHAnsi"/>
          <w:sz w:val="20"/>
          <w:szCs w:val="20"/>
        </w:rPr>
        <w:t xml:space="preserve"> G., (2009) “What drives spreads in the euro area government bond market?” </w:t>
      </w:r>
      <w:r w:rsidRPr="00203CFB">
        <w:rPr>
          <w:rFonts w:asciiTheme="majorHAnsi" w:hAnsiTheme="majorHAnsi"/>
          <w:i/>
          <w:sz w:val="20"/>
          <w:szCs w:val="20"/>
        </w:rPr>
        <w:t>Economic Policy</w:t>
      </w:r>
      <w:r w:rsidRPr="00203CFB">
        <w:rPr>
          <w:rFonts w:asciiTheme="majorHAnsi" w:hAnsiTheme="majorHAnsi"/>
          <w:sz w:val="20"/>
          <w:szCs w:val="20"/>
        </w:rPr>
        <w:t xml:space="preserve"> 24(58), 191–240</w:t>
      </w:r>
    </w:p>
    <w:p w:rsidR="00203CFB" w:rsidRPr="00203CFB" w:rsidRDefault="00203CFB" w:rsidP="00203CFB">
      <w:pPr>
        <w:pStyle w:val="Nessunaspaziatura"/>
        <w:rPr>
          <w:rFonts w:asciiTheme="majorHAnsi" w:hAnsiTheme="majorHAnsi"/>
          <w:sz w:val="20"/>
          <w:szCs w:val="20"/>
        </w:rPr>
      </w:pPr>
    </w:p>
    <w:p w:rsidR="00A56DA9" w:rsidRPr="00203CFB" w:rsidRDefault="00A56DA9" w:rsidP="00203CFB">
      <w:pPr>
        <w:pStyle w:val="Nessunaspaziatura"/>
        <w:rPr>
          <w:rFonts w:asciiTheme="majorHAnsi" w:hAnsiTheme="majorHAnsi"/>
          <w:sz w:val="20"/>
          <w:szCs w:val="20"/>
        </w:rPr>
      </w:pPr>
      <w:r w:rsidRPr="00203CFB">
        <w:rPr>
          <w:rFonts w:asciiTheme="majorHAnsi" w:hAnsiTheme="majorHAnsi"/>
          <w:sz w:val="20"/>
          <w:szCs w:val="20"/>
        </w:rPr>
        <w:t xml:space="preserve">Martinez, L. B., Terceño, A., and Teruel, M., (2013) “Sovereign bond spreads determinants in Latin American countries: Before and during the XXI financial crisis” </w:t>
      </w:r>
      <w:r w:rsidRPr="00203CFB">
        <w:rPr>
          <w:rFonts w:asciiTheme="majorHAnsi" w:hAnsiTheme="majorHAnsi"/>
          <w:i/>
          <w:sz w:val="20"/>
          <w:szCs w:val="20"/>
        </w:rPr>
        <w:t>Emerging Markets Review</w:t>
      </w:r>
      <w:r w:rsidRPr="00203CFB">
        <w:rPr>
          <w:rFonts w:asciiTheme="majorHAnsi" w:hAnsiTheme="majorHAnsi"/>
          <w:sz w:val="20"/>
          <w:szCs w:val="20"/>
        </w:rPr>
        <w:t xml:space="preserve"> 17, 60–75</w:t>
      </w:r>
    </w:p>
    <w:p w:rsidR="00561A65" w:rsidRPr="00724F7E" w:rsidRDefault="00561A65" w:rsidP="00561A65">
      <w:pPr>
        <w:pStyle w:val="Nessunaspaziatura"/>
        <w:jc w:val="both"/>
        <w:rPr>
          <w:rFonts w:asciiTheme="majorHAnsi" w:hAnsiTheme="majorHAnsi"/>
          <w:sz w:val="20"/>
          <w:szCs w:val="20"/>
        </w:rPr>
      </w:pPr>
    </w:p>
    <w:p w:rsidR="00561A65" w:rsidRPr="00724F7E" w:rsidRDefault="00561A65" w:rsidP="00561A65">
      <w:pPr>
        <w:pStyle w:val="Nessunaspaziatura"/>
        <w:jc w:val="both"/>
        <w:rPr>
          <w:rFonts w:asciiTheme="majorHAnsi" w:hAnsiTheme="majorHAnsi"/>
          <w:sz w:val="20"/>
          <w:szCs w:val="20"/>
        </w:rPr>
      </w:pPr>
      <w:r w:rsidRPr="00724F7E">
        <w:rPr>
          <w:rFonts w:asciiTheme="majorHAnsi" w:hAnsiTheme="majorHAnsi"/>
          <w:sz w:val="20"/>
          <w:szCs w:val="20"/>
        </w:rPr>
        <w:t xml:space="preserve">Nippani, S., and Smith, S. D., (2010) “The increasing default risk of US Treasury securities due to the financial crisis” </w:t>
      </w:r>
      <w:r w:rsidRPr="00724F7E">
        <w:rPr>
          <w:rFonts w:asciiTheme="majorHAnsi" w:hAnsiTheme="majorHAnsi"/>
          <w:i/>
          <w:sz w:val="20"/>
          <w:szCs w:val="20"/>
        </w:rPr>
        <w:t>Journal of Banking and Finance</w:t>
      </w:r>
      <w:r w:rsidRPr="00724F7E">
        <w:rPr>
          <w:rFonts w:asciiTheme="majorHAnsi" w:hAnsiTheme="majorHAnsi"/>
          <w:sz w:val="20"/>
          <w:szCs w:val="20"/>
        </w:rPr>
        <w:t xml:space="preserve"> 34(10), 2472–2480</w:t>
      </w:r>
    </w:p>
    <w:p w:rsidR="00561A65" w:rsidRPr="00724F7E" w:rsidRDefault="00561A65" w:rsidP="00561A65">
      <w:pPr>
        <w:pStyle w:val="Nessunaspaziatura"/>
        <w:jc w:val="both"/>
        <w:rPr>
          <w:rFonts w:asciiTheme="majorHAnsi" w:hAnsiTheme="majorHAnsi"/>
          <w:sz w:val="20"/>
          <w:szCs w:val="20"/>
        </w:rPr>
      </w:pPr>
    </w:p>
    <w:p w:rsidR="00561A65" w:rsidRPr="00724F7E" w:rsidRDefault="00561A65" w:rsidP="00561A65">
      <w:pPr>
        <w:pStyle w:val="Nessunaspaziatura"/>
        <w:jc w:val="both"/>
        <w:rPr>
          <w:rFonts w:asciiTheme="majorHAnsi" w:hAnsiTheme="majorHAnsi"/>
          <w:sz w:val="20"/>
          <w:szCs w:val="20"/>
        </w:rPr>
      </w:pPr>
      <w:r w:rsidRPr="00724F7E">
        <w:rPr>
          <w:rFonts w:asciiTheme="majorHAnsi" w:hAnsiTheme="majorHAnsi"/>
          <w:sz w:val="20"/>
          <w:szCs w:val="20"/>
        </w:rPr>
        <w:t xml:space="preserve">Pagano, M., and von Thadden, E.-L., (2004) “The European Bond Markets under EMU” </w:t>
      </w:r>
      <w:r w:rsidRPr="00724F7E">
        <w:rPr>
          <w:rFonts w:asciiTheme="majorHAnsi" w:hAnsiTheme="majorHAnsi"/>
          <w:i/>
          <w:sz w:val="20"/>
          <w:szCs w:val="20"/>
        </w:rPr>
        <w:t>Oxford Review of Economic Policy</w:t>
      </w:r>
      <w:r w:rsidRPr="00724F7E">
        <w:rPr>
          <w:rFonts w:asciiTheme="majorHAnsi" w:hAnsiTheme="majorHAnsi"/>
          <w:sz w:val="20"/>
          <w:szCs w:val="20"/>
        </w:rPr>
        <w:t xml:space="preserve"> 20(4), 531-554</w:t>
      </w:r>
    </w:p>
    <w:p w:rsidR="00561A65" w:rsidRPr="00724F7E" w:rsidRDefault="00561A65" w:rsidP="00561A65">
      <w:pPr>
        <w:pStyle w:val="Nessunaspaziatura"/>
        <w:jc w:val="both"/>
        <w:rPr>
          <w:rFonts w:asciiTheme="majorHAnsi" w:hAnsiTheme="majorHAnsi"/>
          <w:sz w:val="20"/>
          <w:szCs w:val="20"/>
        </w:rPr>
      </w:pPr>
    </w:p>
    <w:p w:rsidR="00561A65" w:rsidRPr="00724F7E" w:rsidRDefault="00561A65" w:rsidP="00561A65">
      <w:pPr>
        <w:pStyle w:val="Nessunaspaziatura"/>
        <w:jc w:val="both"/>
        <w:rPr>
          <w:rFonts w:asciiTheme="majorHAnsi" w:hAnsiTheme="majorHAnsi"/>
          <w:sz w:val="20"/>
          <w:szCs w:val="20"/>
        </w:rPr>
      </w:pPr>
      <w:r w:rsidRPr="00724F7E">
        <w:rPr>
          <w:rFonts w:asciiTheme="majorHAnsi" w:hAnsiTheme="majorHAnsi"/>
          <w:sz w:val="20"/>
          <w:szCs w:val="20"/>
        </w:rPr>
        <w:t xml:space="preserve">Pelizzon, L., Subrahmanyam, M. G., Tomio, D., and Uno, J., (2013) “The Microstructure of the European Sovereign Bond Market: A Study of the Euro-zone Crisis” </w:t>
      </w:r>
      <w:r w:rsidRPr="00724F7E">
        <w:rPr>
          <w:rFonts w:asciiTheme="majorHAnsi" w:hAnsiTheme="majorHAnsi"/>
          <w:i/>
          <w:sz w:val="20"/>
          <w:szCs w:val="20"/>
        </w:rPr>
        <w:t>Working Paper</w:t>
      </w:r>
    </w:p>
    <w:p w:rsidR="00561A65" w:rsidRPr="00724F7E" w:rsidRDefault="00561A65" w:rsidP="00561A65">
      <w:pPr>
        <w:pStyle w:val="Nessunaspaziatura"/>
        <w:jc w:val="both"/>
        <w:rPr>
          <w:rFonts w:asciiTheme="majorHAnsi" w:hAnsiTheme="majorHAnsi"/>
          <w:sz w:val="20"/>
          <w:szCs w:val="20"/>
        </w:rPr>
      </w:pPr>
    </w:p>
    <w:p w:rsidR="00022F76" w:rsidRDefault="00561A65" w:rsidP="00022F76">
      <w:pPr>
        <w:pStyle w:val="Nessunaspaziatura"/>
        <w:jc w:val="both"/>
        <w:rPr>
          <w:rFonts w:asciiTheme="majorHAnsi" w:hAnsiTheme="majorHAnsi"/>
          <w:i/>
          <w:sz w:val="20"/>
          <w:szCs w:val="20"/>
        </w:rPr>
      </w:pPr>
      <w:r w:rsidRPr="00724F7E">
        <w:rPr>
          <w:rFonts w:asciiTheme="majorHAnsi" w:hAnsiTheme="majorHAnsi"/>
          <w:sz w:val="20"/>
          <w:szCs w:val="20"/>
        </w:rPr>
        <w:t xml:space="preserve">Persaud, A. D., (2006) “Improving efficiency in the European government bond market” </w:t>
      </w:r>
      <w:r w:rsidRPr="00724F7E">
        <w:rPr>
          <w:rFonts w:asciiTheme="majorHAnsi" w:hAnsiTheme="majorHAnsi"/>
          <w:i/>
          <w:sz w:val="20"/>
          <w:szCs w:val="20"/>
        </w:rPr>
        <w:t>ICAP Publications</w:t>
      </w:r>
    </w:p>
    <w:p w:rsidR="00022F76" w:rsidRPr="00022F76" w:rsidRDefault="00022F76" w:rsidP="00022F76">
      <w:pPr>
        <w:pStyle w:val="Nessunaspaziatura"/>
        <w:jc w:val="both"/>
        <w:rPr>
          <w:rFonts w:asciiTheme="majorHAnsi" w:hAnsiTheme="majorHAnsi"/>
          <w:sz w:val="20"/>
          <w:szCs w:val="20"/>
        </w:rPr>
      </w:pPr>
      <w:r w:rsidRPr="00022F76">
        <w:rPr>
          <w:rFonts w:asciiTheme="majorHAnsi" w:hAnsiTheme="majorHAnsi" w:hint="eastAsia"/>
          <w:sz w:val="20"/>
          <w:szCs w:val="20"/>
        </w:rPr>
        <w:t>Pilja</w:t>
      </w:r>
      <w:r w:rsidRPr="00022F76">
        <w:rPr>
          <w:rFonts w:asciiTheme="majorHAnsi" w:hAnsiTheme="majorHAnsi"/>
          <w:sz w:val="20"/>
          <w:szCs w:val="20"/>
        </w:rPr>
        <w:t>k, V., (2013) “</w:t>
      </w:r>
      <w:r w:rsidRPr="00022F76">
        <w:rPr>
          <w:rFonts w:asciiTheme="majorHAnsi" w:hAnsiTheme="majorHAnsi" w:hint="eastAsia"/>
          <w:sz w:val="20"/>
          <w:szCs w:val="20"/>
        </w:rPr>
        <w:t>Bond markets co-movement dynamics and macroeconomic</w:t>
      </w:r>
      <w:r w:rsidRPr="00022F76">
        <w:rPr>
          <w:rFonts w:asciiTheme="majorHAnsi" w:hAnsiTheme="majorHAnsi"/>
          <w:sz w:val="20"/>
          <w:szCs w:val="20"/>
        </w:rPr>
        <w:t xml:space="preserve"> </w:t>
      </w:r>
      <w:r w:rsidRPr="00022F76">
        <w:rPr>
          <w:rFonts w:asciiTheme="majorHAnsi" w:hAnsiTheme="majorHAnsi" w:hint="eastAsia"/>
          <w:sz w:val="20"/>
          <w:szCs w:val="20"/>
        </w:rPr>
        <w:t>factors: Evidence from emerging and frontier markets</w:t>
      </w:r>
      <w:r w:rsidRPr="00022F76">
        <w:rPr>
          <w:rFonts w:asciiTheme="majorHAnsi" w:hAnsiTheme="majorHAnsi"/>
          <w:sz w:val="20"/>
          <w:szCs w:val="20"/>
        </w:rPr>
        <w:t xml:space="preserve">” </w:t>
      </w:r>
      <w:r w:rsidRPr="00022F76">
        <w:rPr>
          <w:rFonts w:asciiTheme="majorHAnsi" w:hAnsiTheme="majorHAnsi" w:hint="eastAsia"/>
          <w:i/>
          <w:sz w:val="20"/>
          <w:szCs w:val="20"/>
        </w:rPr>
        <w:t>Emerging Markets Review</w:t>
      </w:r>
      <w:r w:rsidRPr="00022F76">
        <w:rPr>
          <w:rFonts w:asciiTheme="majorHAnsi" w:hAnsiTheme="majorHAnsi"/>
          <w:sz w:val="20"/>
          <w:szCs w:val="20"/>
        </w:rPr>
        <w:t xml:space="preserve"> 17, </w:t>
      </w:r>
      <w:r w:rsidRPr="00022F76">
        <w:rPr>
          <w:rFonts w:asciiTheme="majorHAnsi" w:hAnsiTheme="majorHAnsi" w:hint="eastAsia"/>
          <w:sz w:val="20"/>
          <w:szCs w:val="20"/>
        </w:rPr>
        <w:t>29</w:t>
      </w:r>
      <w:r w:rsidRPr="00022F76">
        <w:rPr>
          <w:rFonts w:asciiTheme="majorHAnsi" w:hAnsiTheme="majorHAnsi" w:hint="eastAsia"/>
          <w:sz w:val="20"/>
          <w:szCs w:val="20"/>
        </w:rPr>
        <w:t>–</w:t>
      </w:r>
      <w:r w:rsidRPr="00022F76">
        <w:rPr>
          <w:rFonts w:asciiTheme="majorHAnsi" w:hAnsiTheme="majorHAnsi" w:hint="eastAsia"/>
          <w:sz w:val="20"/>
          <w:szCs w:val="20"/>
        </w:rPr>
        <w:t>43</w:t>
      </w:r>
    </w:p>
    <w:p w:rsidR="00022F76" w:rsidRPr="00724F7E" w:rsidRDefault="00022F76" w:rsidP="00561A65">
      <w:pPr>
        <w:pStyle w:val="Nessunaspaziatura"/>
        <w:jc w:val="both"/>
        <w:rPr>
          <w:rFonts w:asciiTheme="majorHAnsi" w:hAnsiTheme="majorHAnsi"/>
          <w:sz w:val="20"/>
          <w:szCs w:val="20"/>
        </w:rPr>
      </w:pPr>
    </w:p>
    <w:p w:rsidR="00561A65" w:rsidRPr="00724F7E" w:rsidRDefault="00561A65" w:rsidP="00561A65">
      <w:pPr>
        <w:pStyle w:val="Nessunaspaziatura"/>
        <w:jc w:val="both"/>
        <w:rPr>
          <w:rFonts w:asciiTheme="majorHAnsi" w:hAnsiTheme="majorHAnsi"/>
          <w:sz w:val="20"/>
          <w:szCs w:val="20"/>
        </w:rPr>
      </w:pPr>
      <w:r w:rsidRPr="00724F7E">
        <w:rPr>
          <w:rFonts w:asciiTheme="majorHAnsi" w:hAnsiTheme="majorHAnsi"/>
          <w:sz w:val="20"/>
          <w:szCs w:val="20"/>
        </w:rPr>
        <w:lastRenderedPageBreak/>
        <w:t xml:space="preserve">Prati, A., and Schinasi, G. J., (1997) “European Monetary Union and International Capital Markets: Structural Implications and Risks” </w:t>
      </w:r>
      <w:r w:rsidRPr="00724F7E">
        <w:rPr>
          <w:rFonts w:asciiTheme="majorHAnsi" w:hAnsiTheme="majorHAnsi"/>
          <w:i/>
          <w:sz w:val="20"/>
          <w:szCs w:val="20"/>
        </w:rPr>
        <w:t>IMF Working Paper</w:t>
      </w:r>
    </w:p>
    <w:p w:rsidR="00561A65" w:rsidRDefault="00561A65" w:rsidP="00561A65">
      <w:pPr>
        <w:pStyle w:val="Nessunaspaziatura"/>
        <w:jc w:val="both"/>
        <w:rPr>
          <w:rFonts w:asciiTheme="majorHAnsi" w:hAnsiTheme="majorHAnsi"/>
          <w:sz w:val="20"/>
          <w:szCs w:val="20"/>
        </w:rPr>
      </w:pPr>
    </w:p>
    <w:p w:rsidR="00AE6093" w:rsidRPr="00724F7E" w:rsidRDefault="00AE6093" w:rsidP="00561A65">
      <w:pPr>
        <w:pStyle w:val="Nessunaspaziatura"/>
        <w:jc w:val="both"/>
        <w:rPr>
          <w:rFonts w:asciiTheme="majorHAnsi" w:hAnsiTheme="majorHAnsi"/>
          <w:sz w:val="20"/>
          <w:szCs w:val="20"/>
        </w:rPr>
      </w:pPr>
      <w:r w:rsidRPr="00AE6093">
        <w:rPr>
          <w:rFonts w:asciiTheme="majorHAnsi" w:hAnsiTheme="majorHAnsi"/>
          <w:sz w:val="20"/>
          <w:szCs w:val="20"/>
        </w:rPr>
        <w:t>Pukthuanthong, K.,</w:t>
      </w:r>
      <w:r w:rsidR="00DC36E6">
        <w:rPr>
          <w:rFonts w:asciiTheme="majorHAnsi" w:hAnsiTheme="majorHAnsi"/>
          <w:sz w:val="20"/>
          <w:szCs w:val="20"/>
        </w:rPr>
        <w:t xml:space="preserve"> and</w:t>
      </w:r>
      <w:r w:rsidRPr="00AE6093">
        <w:rPr>
          <w:rFonts w:asciiTheme="majorHAnsi" w:hAnsiTheme="majorHAnsi"/>
          <w:sz w:val="20"/>
          <w:szCs w:val="20"/>
        </w:rPr>
        <w:t xml:space="preserve"> Roll, R., </w:t>
      </w:r>
      <w:r>
        <w:rPr>
          <w:rFonts w:asciiTheme="majorHAnsi" w:hAnsiTheme="majorHAnsi"/>
          <w:sz w:val="20"/>
          <w:szCs w:val="20"/>
        </w:rPr>
        <w:t>(2009)</w:t>
      </w:r>
      <w:r w:rsidRPr="00AE6093">
        <w:rPr>
          <w:rFonts w:asciiTheme="majorHAnsi" w:hAnsiTheme="majorHAnsi"/>
          <w:sz w:val="20"/>
          <w:szCs w:val="20"/>
        </w:rPr>
        <w:t xml:space="preserve"> </w:t>
      </w:r>
      <w:r>
        <w:rPr>
          <w:rFonts w:asciiTheme="majorHAnsi" w:hAnsiTheme="majorHAnsi"/>
          <w:sz w:val="20"/>
          <w:szCs w:val="20"/>
        </w:rPr>
        <w:t>“</w:t>
      </w:r>
      <w:r w:rsidRPr="00AE6093">
        <w:rPr>
          <w:rFonts w:asciiTheme="majorHAnsi" w:hAnsiTheme="majorHAnsi"/>
          <w:sz w:val="20"/>
          <w:szCs w:val="20"/>
        </w:rPr>
        <w:t>Global market integration: a better way to</w:t>
      </w:r>
      <w:r>
        <w:rPr>
          <w:rFonts w:asciiTheme="majorHAnsi" w:hAnsiTheme="majorHAnsi"/>
          <w:sz w:val="20"/>
          <w:szCs w:val="20"/>
        </w:rPr>
        <w:t xml:space="preserve"> measure it and its application”</w:t>
      </w:r>
      <w:r w:rsidRPr="00AE6093">
        <w:rPr>
          <w:rFonts w:asciiTheme="majorHAnsi" w:hAnsiTheme="majorHAnsi"/>
          <w:sz w:val="20"/>
          <w:szCs w:val="20"/>
        </w:rPr>
        <w:t xml:space="preserve"> </w:t>
      </w:r>
      <w:r w:rsidRPr="00AE6093">
        <w:rPr>
          <w:rFonts w:asciiTheme="majorHAnsi" w:hAnsiTheme="majorHAnsi"/>
          <w:i/>
          <w:sz w:val="20"/>
          <w:szCs w:val="20"/>
        </w:rPr>
        <w:t>Journal of Financial Economics</w:t>
      </w:r>
      <w:r w:rsidRPr="00AE6093">
        <w:rPr>
          <w:rFonts w:asciiTheme="majorHAnsi" w:hAnsiTheme="majorHAnsi"/>
          <w:sz w:val="20"/>
          <w:szCs w:val="20"/>
        </w:rPr>
        <w:t xml:space="preserve"> 94</w:t>
      </w:r>
      <w:r>
        <w:rPr>
          <w:rFonts w:asciiTheme="majorHAnsi" w:hAnsiTheme="majorHAnsi"/>
          <w:sz w:val="20"/>
          <w:szCs w:val="20"/>
        </w:rPr>
        <w:t>(2)</w:t>
      </w:r>
      <w:r w:rsidRPr="00AE6093">
        <w:rPr>
          <w:rFonts w:asciiTheme="majorHAnsi" w:hAnsiTheme="majorHAnsi"/>
          <w:sz w:val="20"/>
          <w:szCs w:val="20"/>
        </w:rPr>
        <w:t>, 214–232.</w:t>
      </w:r>
    </w:p>
    <w:p w:rsidR="00AE6093" w:rsidRDefault="00AE6093" w:rsidP="00561A65">
      <w:pPr>
        <w:pStyle w:val="Nessunaspaziatura"/>
        <w:jc w:val="both"/>
        <w:rPr>
          <w:rFonts w:asciiTheme="majorHAnsi" w:hAnsiTheme="majorHAnsi"/>
          <w:sz w:val="20"/>
          <w:szCs w:val="20"/>
        </w:rPr>
      </w:pPr>
    </w:p>
    <w:p w:rsidR="00561A65" w:rsidRPr="00724F7E" w:rsidRDefault="00561A65" w:rsidP="00561A65">
      <w:pPr>
        <w:pStyle w:val="Nessunaspaziatura"/>
        <w:jc w:val="both"/>
        <w:rPr>
          <w:rFonts w:asciiTheme="majorHAnsi" w:hAnsiTheme="majorHAnsi"/>
          <w:sz w:val="20"/>
          <w:szCs w:val="20"/>
        </w:rPr>
      </w:pPr>
      <w:r w:rsidRPr="00724F7E">
        <w:rPr>
          <w:rFonts w:asciiTheme="majorHAnsi" w:hAnsiTheme="majorHAnsi"/>
          <w:sz w:val="20"/>
          <w:szCs w:val="20"/>
        </w:rPr>
        <w:t>Singleton, K. J., (2000) “Yield Curve Risk in Japanese Government Bond Markets” </w:t>
      </w:r>
      <w:r w:rsidRPr="00724F7E">
        <w:rPr>
          <w:rFonts w:asciiTheme="majorHAnsi" w:hAnsiTheme="majorHAnsi"/>
          <w:i/>
          <w:sz w:val="20"/>
          <w:szCs w:val="20"/>
        </w:rPr>
        <w:t xml:space="preserve">International Review of Finance </w:t>
      </w:r>
      <w:r w:rsidRPr="00724F7E">
        <w:rPr>
          <w:rFonts w:asciiTheme="majorHAnsi" w:hAnsiTheme="majorHAnsi"/>
          <w:sz w:val="20"/>
          <w:szCs w:val="20"/>
        </w:rPr>
        <w:t>1(2), 97-121</w:t>
      </w:r>
    </w:p>
    <w:p w:rsidR="00561A65" w:rsidRDefault="00561A65" w:rsidP="00561A65">
      <w:pPr>
        <w:pStyle w:val="Nessunaspaziatura"/>
        <w:jc w:val="both"/>
        <w:rPr>
          <w:rFonts w:asciiTheme="majorHAnsi" w:hAnsiTheme="majorHAnsi"/>
          <w:sz w:val="20"/>
          <w:szCs w:val="20"/>
        </w:rPr>
      </w:pPr>
    </w:p>
    <w:p w:rsidR="00561A65" w:rsidRPr="00724F7E" w:rsidRDefault="00203CFB" w:rsidP="00C871B2">
      <w:pPr>
        <w:pStyle w:val="Nessunaspaziatura"/>
        <w:jc w:val="both"/>
        <w:rPr>
          <w:rFonts w:asciiTheme="majorHAnsi" w:hAnsiTheme="majorHAnsi"/>
          <w:sz w:val="20"/>
          <w:szCs w:val="20"/>
        </w:rPr>
      </w:pPr>
      <w:r w:rsidRPr="00267067">
        <w:rPr>
          <w:rFonts w:asciiTheme="majorHAnsi" w:hAnsiTheme="majorHAnsi"/>
          <w:sz w:val="20"/>
          <w:szCs w:val="20"/>
        </w:rPr>
        <w:t>Schwarz</w:t>
      </w:r>
      <w:r w:rsidR="00561A65">
        <w:rPr>
          <w:rFonts w:asciiTheme="majorHAnsi" w:hAnsiTheme="majorHAnsi"/>
          <w:sz w:val="20"/>
          <w:szCs w:val="20"/>
        </w:rPr>
        <w:t>, K., (2014</w:t>
      </w:r>
      <w:r w:rsidR="00561A65" w:rsidRPr="00724F7E">
        <w:rPr>
          <w:rFonts w:asciiTheme="majorHAnsi" w:hAnsiTheme="majorHAnsi"/>
          <w:sz w:val="20"/>
          <w:szCs w:val="20"/>
        </w:rPr>
        <w:t>) “</w:t>
      </w:r>
      <w:r w:rsidR="00561A65" w:rsidRPr="00267067">
        <w:rPr>
          <w:rFonts w:asciiTheme="majorHAnsi" w:hAnsiTheme="majorHAnsi"/>
          <w:sz w:val="20"/>
          <w:szCs w:val="20"/>
        </w:rPr>
        <w:t>Mind the Gap</w:t>
      </w:r>
      <w:r w:rsidR="00561A65">
        <w:rPr>
          <w:rFonts w:asciiTheme="majorHAnsi" w:hAnsiTheme="majorHAnsi"/>
          <w:sz w:val="20"/>
          <w:szCs w:val="20"/>
        </w:rPr>
        <w:t>:</w:t>
      </w:r>
      <w:r w:rsidR="00561A65" w:rsidRPr="00267067">
        <w:rPr>
          <w:rFonts w:asciiTheme="majorHAnsi" w:hAnsiTheme="majorHAnsi"/>
          <w:sz w:val="20"/>
          <w:szCs w:val="20"/>
        </w:rPr>
        <w:t xml:space="preserve"> Disentangling Credit and Liquidity in Risk Spreads</w:t>
      </w:r>
      <w:r w:rsidR="00561A65" w:rsidRPr="00724F7E">
        <w:rPr>
          <w:rFonts w:asciiTheme="majorHAnsi" w:hAnsiTheme="majorHAnsi"/>
          <w:sz w:val="20"/>
          <w:szCs w:val="20"/>
        </w:rPr>
        <w:t xml:space="preserve">” </w:t>
      </w:r>
      <w:r w:rsidR="00561A65" w:rsidRPr="00724F7E">
        <w:rPr>
          <w:rFonts w:asciiTheme="majorHAnsi" w:hAnsiTheme="majorHAnsi"/>
          <w:i/>
          <w:sz w:val="20"/>
          <w:szCs w:val="20"/>
        </w:rPr>
        <w:t>Working paper</w:t>
      </w:r>
      <w:r w:rsidR="00561A65" w:rsidRPr="00724F7E">
        <w:rPr>
          <w:rFonts w:asciiTheme="majorHAnsi" w:hAnsiTheme="majorHAnsi"/>
          <w:sz w:val="20"/>
          <w:szCs w:val="20"/>
        </w:rPr>
        <w:t xml:space="preserve">, </w:t>
      </w:r>
      <w:r w:rsidR="00561A65" w:rsidRPr="00267067">
        <w:rPr>
          <w:rFonts w:asciiTheme="majorHAnsi" w:hAnsiTheme="majorHAnsi"/>
          <w:sz w:val="20"/>
          <w:szCs w:val="20"/>
        </w:rPr>
        <w:t>http://papers.ssrn.com/sol3/papers.cfm?abstract_id=1486240</w:t>
      </w:r>
    </w:p>
    <w:p w:rsidR="00203CFB" w:rsidRPr="00203CFB" w:rsidRDefault="00203CFB" w:rsidP="00C871B2">
      <w:pPr>
        <w:pStyle w:val="Nessunaspaziatura"/>
        <w:jc w:val="both"/>
        <w:rPr>
          <w:rFonts w:asciiTheme="majorHAnsi" w:hAnsiTheme="majorHAnsi"/>
          <w:sz w:val="20"/>
          <w:szCs w:val="20"/>
        </w:rPr>
      </w:pPr>
    </w:p>
    <w:p w:rsidR="00C871B2" w:rsidRPr="00724F7E" w:rsidRDefault="00203CFB" w:rsidP="00C871B2">
      <w:pPr>
        <w:autoSpaceDE w:val="0"/>
        <w:autoSpaceDN w:val="0"/>
        <w:adjustRightInd w:val="0"/>
        <w:spacing w:after="0" w:line="240" w:lineRule="auto"/>
        <w:jc w:val="both"/>
        <w:rPr>
          <w:rFonts w:asciiTheme="majorHAnsi" w:hAnsiTheme="majorHAnsi"/>
          <w:sz w:val="20"/>
          <w:szCs w:val="20"/>
        </w:rPr>
      </w:pPr>
      <w:r w:rsidRPr="00C871B2">
        <w:rPr>
          <w:rFonts w:asciiTheme="majorHAnsi" w:hAnsiTheme="majorHAnsi"/>
          <w:sz w:val="20"/>
          <w:szCs w:val="20"/>
        </w:rPr>
        <w:t xml:space="preserve">Scruggs, J. T., and Glabadanidi, P., (2003) “Risk Premia and the Dynamic Covariance between Stock and Bond Returns” </w:t>
      </w:r>
      <w:r w:rsidR="00C871B2" w:rsidRPr="00724F7E">
        <w:rPr>
          <w:rFonts w:asciiTheme="majorHAnsi" w:hAnsiTheme="majorHAnsi"/>
          <w:i/>
          <w:sz w:val="20"/>
          <w:szCs w:val="20"/>
        </w:rPr>
        <w:t>Journal of Financial and Quantitative Analysis</w:t>
      </w:r>
      <w:r w:rsidR="00C871B2">
        <w:rPr>
          <w:rFonts w:asciiTheme="majorHAnsi" w:hAnsiTheme="majorHAnsi"/>
          <w:sz w:val="20"/>
          <w:szCs w:val="20"/>
        </w:rPr>
        <w:t xml:space="preserve"> 38(2), 295-316</w:t>
      </w:r>
    </w:p>
    <w:p w:rsidR="00203CFB" w:rsidRDefault="00203CFB" w:rsidP="00C871B2">
      <w:pPr>
        <w:pStyle w:val="Nessunaspaziatura"/>
        <w:jc w:val="both"/>
        <w:rPr>
          <w:rFonts w:asciiTheme="majorHAnsi" w:hAnsiTheme="majorHAnsi"/>
          <w:sz w:val="20"/>
          <w:szCs w:val="20"/>
        </w:rPr>
      </w:pPr>
    </w:p>
    <w:p w:rsidR="00561A65" w:rsidRPr="00724F7E" w:rsidRDefault="00561A65" w:rsidP="00561A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hAnsiTheme="majorHAnsi"/>
          <w:sz w:val="20"/>
          <w:szCs w:val="20"/>
        </w:rPr>
      </w:pPr>
      <w:r w:rsidRPr="00724F7E">
        <w:rPr>
          <w:rFonts w:asciiTheme="majorHAnsi" w:hAnsiTheme="majorHAnsi"/>
          <w:sz w:val="20"/>
          <w:szCs w:val="20"/>
        </w:rPr>
        <w:t xml:space="preserve">Skintzi, V. D., and Refenes, A. N., (2006) “Volatility spillovers and dynamic correlation in European bond markets” </w:t>
      </w:r>
      <w:r w:rsidRPr="00724F7E">
        <w:rPr>
          <w:rFonts w:asciiTheme="majorHAnsi" w:hAnsiTheme="majorHAnsi"/>
          <w:i/>
          <w:sz w:val="20"/>
          <w:szCs w:val="20"/>
        </w:rPr>
        <w:t>Journal of International Financial Markets, Institutions and Money</w:t>
      </w:r>
      <w:r w:rsidRPr="00724F7E">
        <w:rPr>
          <w:rFonts w:asciiTheme="majorHAnsi" w:hAnsiTheme="majorHAnsi"/>
          <w:sz w:val="20"/>
          <w:szCs w:val="20"/>
        </w:rPr>
        <w:t xml:space="preserve"> 16(1), 23-40</w:t>
      </w:r>
    </w:p>
    <w:p w:rsidR="00561A65" w:rsidRPr="00724F7E" w:rsidRDefault="00561A65" w:rsidP="00561A65">
      <w:pPr>
        <w:pStyle w:val="Nessunaspaziatura"/>
        <w:rPr>
          <w:rFonts w:asciiTheme="majorHAnsi" w:hAnsiTheme="majorHAnsi"/>
          <w:sz w:val="20"/>
          <w:szCs w:val="20"/>
        </w:rPr>
      </w:pPr>
    </w:p>
    <w:p w:rsidR="00561A65" w:rsidRDefault="00561A65" w:rsidP="00561A65">
      <w:pPr>
        <w:pStyle w:val="Nessunaspaziatura"/>
        <w:rPr>
          <w:rFonts w:asciiTheme="majorHAnsi" w:hAnsiTheme="majorHAnsi"/>
          <w:sz w:val="20"/>
          <w:szCs w:val="20"/>
        </w:rPr>
      </w:pPr>
      <w:r w:rsidRPr="00724F7E">
        <w:rPr>
          <w:rFonts w:asciiTheme="majorHAnsi" w:hAnsiTheme="majorHAnsi"/>
          <w:sz w:val="20"/>
          <w:szCs w:val="20"/>
        </w:rPr>
        <w:t xml:space="preserve">Tang, D., and Yan, H., (2008) “Liquidity and credit default swap spreads” </w:t>
      </w:r>
      <w:r w:rsidRPr="00724F7E">
        <w:rPr>
          <w:rFonts w:asciiTheme="majorHAnsi" w:hAnsiTheme="majorHAnsi"/>
          <w:i/>
          <w:sz w:val="20"/>
          <w:szCs w:val="20"/>
        </w:rPr>
        <w:t>Working paper</w:t>
      </w:r>
      <w:r w:rsidRPr="00724F7E">
        <w:rPr>
          <w:rFonts w:asciiTheme="majorHAnsi" w:hAnsiTheme="majorHAnsi"/>
          <w:sz w:val="20"/>
          <w:szCs w:val="20"/>
        </w:rPr>
        <w:t xml:space="preserve">, </w:t>
      </w:r>
      <w:hyperlink r:id="rId13" w:history="1">
        <w:r w:rsidRPr="00724F7E">
          <w:rPr>
            <w:rFonts w:asciiTheme="majorHAnsi" w:hAnsiTheme="majorHAnsi"/>
            <w:sz w:val="20"/>
            <w:szCs w:val="20"/>
          </w:rPr>
          <w:t>http://papers.ssrn.com/sol3/papers.cfm?abstract_id=891263</w:t>
        </w:r>
      </w:hyperlink>
    </w:p>
    <w:p w:rsidR="0003301E" w:rsidRDefault="0003301E" w:rsidP="00561A65">
      <w:pPr>
        <w:pStyle w:val="Nessunaspaziatura"/>
        <w:rPr>
          <w:rFonts w:asciiTheme="majorHAnsi" w:hAnsiTheme="majorHAnsi"/>
          <w:sz w:val="20"/>
          <w:szCs w:val="20"/>
        </w:rPr>
      </w:pPr>
    </w:p>
    <w:p w:rsidR="0003301E" w:rsidRPr="00724F7E" w:rsidRDefault="0003301E" w:rsidP="0003301E">
      <w:pPr>
        <w:pStyle w:val="Nessunaspaziatura"/>
        <w:jc w:val="both"/>
        <w:rPr>
          <w:rFonts w:asciiTheme="majorHAnsi" w:hAnsiTheme="majorHAnsi"/>
          <w:sz w:val="20"/>
          <w:szCs w:val="20"/>
        </w:rPr>
      </w:pPr>
      <w:r w:rsidRPr="0003301E">
        <w:rPr>
          <w:rFonts w:asciiTheme="majorHAnsi" w:hAnsiTheme="majorHAnsi"/>
          <w:sz w:val="20"/>
          <w:szCs w:val="20"/>
        </w:rPr>
        <w:t>Weigel</w:t>
      </w:r>
      <w:r>
        <w:rPr>
          <w:rFonts w:asciiTheme="majorHAnsi" w:hAnsiTheme="majorHAnsi"/>
          <w:sz w:val="20"/>
          <w:szCs w:val="20"/>
        </w:rPr>
        <w:t>, D</w:t>
      </w:r>
      <w:r w:rsidRPr="00724F7E">
        <w:rPr>
          <w:rFonts w:asciiTheme="majorHAnsi" w:hAnsiTheme="majorHAnsi"/>
          <w:sz w:val="20"/>
          <w:szCs w:val="20"/>
        </w:rPr>
        <w:t>.</w:t>
      </w:r>
      <w:r>
        <w:rPr>
          <w:rFonts w:asciiTheme="majorHAnsi" w:hAnsiTheme="majorHAnsi"/>
          <w:sz w:val="20"/>
          <w:szCs w:val="20"/>
        </w:rPr>
        <w:t xml:space="preserve"> D.</w:t>
      </w:r>
      <w:r w:rsidRPr="00724F7E">
        <w:rPr>
          <w:rFonts w:asciiTheme="majorHAnsi" w:hAnsiTheme="majorHAnsi"/>
          <w:sz w:val="20"/>
          <w:szCs w:val="20"/>
        </w:rPr>
        <w:t xml:space="preserve">, </w:t>
      </w:r>
      <w:r>
        <w:rPr>
          <w:rFonts w:asciiTheme="majorHAnsi" w:hAnsiTheme="majorHAnsi"/>
          <w:sz w:val="20"/>
          <w:szCs w:val="20"/>
        </w:rPr>
        <w:t>and</w:t>
      </w:r>
      <w:r w:rsidRPr="0003301E">
        <w:rPr>
          <w:rFonts w:asciiTheme="majorHAnsi" w:hAnsiTheme="majorHAnsi"/>
          <w:sz w:val="20"/>
          <w:szCs w:val="20"/>
        </w:rPr>
        <w:t xml:space="preserve"> Gemmill,</w:t>
      </w:r>
      <w:r>
        <w:rPr>
          <w:rFonts w:asciiTheme="majorHAnsi" w:hAnsiTheme="majorHAnsi"/>
          <w:sz w:val="20"/>
          <w:szCs w:val="20"/>
        </w:rPr>
        <w:t xml:space="preserve"> G</w:t>
      </w:r>
      <w:r w:rsidRPr="00724F7E">
        <w:rPr>
          <w:rFonts w:asciiTheme="majorHAnsi" w:hAnsiTheme="majorHAnsi"/>
          <w:sz w:val="20"/>
          <w:szCs w:val="20"/>
        </w:rPr>
        <w:t>.,</w:t>
      </w:r>
      <w:r>
        <w:rPr>
          <w:rFonts w:asciiTheme="majorHAnsi" w:hAnsiTheme="majorHAnsi"/>
          <w:sz w:val="20"/>
          <w:szCs w:val="20"/>
        </w:rPr>
        <w:t xml:space="preserve"> (2006</w:t>
      </w:r>
      <w:r w:rsidRPr="00724F7E">
        <w:rPr>
          <w:rFonts w:asciiTheme="majorHAnsi" w:hAnsiTheme="majorHAnsi"/>
          <w:sz w:val="20"/>
          <w:szCs w:val="20"/>
        </w:rPr>
        <w:t>) “</w:t>
      </w:r>
      <w:r w:rsidRPr="0003301E">
        <w:rPr>
          <w:rFonts w:asciiTheme="majorHAnsi" w:hAnsiTheme="majorHAnsi"/>
          <w:sz w:val="20"/>
          <w:szCs w:val="20"/>
        </w:rPr>
        <w:t>What drives credit risk in emerging markets? The roles of country fundamentals and market co-movements</w:t>
      </w:r>
      <w:r w:rsidRPr="00724F7E">
        <w:rPr>
          <w:rFonts w:asciiTheme="majorHAnsi" w:hAnsiTheme="majorHAnsi"/>
          <w:sz w:val="20"/>
          <w:szCs w:val="20"/>
        </w:rPr>
        <w:t xml:space="preserve">” </w:t>
      </w:r>
      <w:r w:rsidRPr="0003301E">
        <w:rPr>
          <w:rFonts w:asciiTheme="majorHAnsi" w:hAnsiTheme="majorHAnsi"/>
          <w:i/>
          <w:sz w:val="20"/>
          <w:szCs w:val="20"/>
        </w:rPr>
        <w:t>Journal of International Money and Finance</w:t>
      </w:r>
      <w:r>
        <w:rPr>
          <w:rFonts w:asciiTheme="majorHAnsi" w:hAnsiTheme="majorHAnsi"/>
          <w:sz w:val="20"/>
          <w:szCs w:val="20"/>
        </w:rPr>
        <w:t xml:space="preserve"> 25(3</w:t>
      </w:r>
      <w:r w:rsidRPr="00724F7E">
        <w:rPr>
          <w:rFonts w:asciiTheme="majorHAnsi" w:hAnsiTheme="majorHAnsi"/>
          <w:sz w:val="20"/>
          <w:szCs w:val="20"/>
        </w:rPr>
        <w:t xml:space="preserve">), </w:t>
      </w:r>
      <w:r w:rsidRPr="0003301E">
        <w:rPr>
          <w:rFonts w:asciiTheme="majorHAnsi" w:hAnsiTheme="majorHAnsi"/>
          <w:sz w:val="20"/>
          <w:szCs w:val="20"/>
        </w:rPr>
        <w:t>476-502</w:t>
      </w:r>
    </w:p>
    <w:p w:rsidR="0003301E" w:rsidRPr="00724F7E" w:rsidRDefault="0003301E" w:rsidP="00561A65">
      <w:pPr>
        <w:pStyle w:val="Nessunaspaziatura"/>
        <w:rPr>
          <w:rFonts w:asciiTheme="majorHAnsi" w:hAnsiTheme="majorHAnsi"/>
          <w:sz w:val="20"/>
          <w:szCs w:val="20"/>
        </w:rPr>
      </w:pPr>
    </w:p>
    <w:p w:rsidR="0003301E" w:rsidRPr="00724F7E" w:rsidRDefault="0003301E" w:rsidP="000F54BD">
      <w:pPr>
        <w:pStyle w:val="Default"/>
        <w:rPr>
          <w:rFonts w:ascii="TTdcr10" w:hAnsi="TTdcr10" w:cs="TTdcr10"/>
          <w:color w:val="auto"/>
        </w:rPr>
        <w:sectPr w:rsidR="0003301E" w:rsidRPr="00724F7E" w:rsidSect="00670AC1">
          <w:footnotePr>
            <w:numRestart w:val="eachSect"/>
          </w:footnotePr>
          <w:pgSz w:w="11906" w:h="16838"/>
          <w:pgMar w:top="1440" w:right="1440" w:bottom="1440" w:left="1440" w:header="708" w:footer="708" w:gutter="0"/>
          <w:cols w:space="708"/>
          <w:docGrid w:linePitch="360"/>
        </w:sectPr>
      </w:pPr>
    </w:p>
    <w:tbl>
      <w:tblPr>
        <w:tblStyle w:val="Grigliatabella"/>
        <w:tblW w:w="1476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236"/>
        <w:gridCol w:w="1077"/>
        <w:gridCol w:w="1077"/>
        <w:gridCol w:w="1077"/>
        <w:gridCol w:w="1078"/>
        <w:gridCol w:w="236"/>
        <w:gridCol w:w="1077"/>
        <w:gridCol w:w="1077"/>
        <w:gridCol w:w="1077"/>
        <w:gridCol w:w="1078"/>
        <w:gridCol w:w="236"/>
        <w:gridCol w:w="1077"/>
        <w:gridCol w:w="1077"/>
        <w:gridCol w:w="1077"/>
        <w:gridCol w:w="1049"/>
        <w:gridCol w:w="29"/>
      </w:tblGrid>
      <w:tr w:rsidR="0051010B" w:rsidRPr="00ED504D" w:rsidTr="006C43BF">
        <w:trPr>
          <w:gridAfter w:val="1"/>
          <w:wAfter w:w="29" w:type="dxa"/>
          <w:trHeight w:val="20"/>
          <w:jc w:val="center"/>
        </w:trPr>
        <w:tc>
          <w:tcPr>
            <w:tcW w:w="14740" w:type="dxa"/>
            <w:gridSpan w:val="16"/>
          </w:tcPr>
          <w:p w:rsidR="0051010B" w:rsidRPr="00ED504D" w:rsidRDefault="0051010B" w:rsidP="0051010B">
            <w:pPr>
              <w:jc w:val="center"/>
              <w:rPr>
                <w:b/>
                <w:sz w:val="18"/>
                <w:szCs w:val="20"/>
              </w:rPr>
            </w:pPr>
            <w:r w:rsidRPr="00ED504D">
              <w:rPr>
                <w:b/>
                <w:sz w:val="18"/>
                <w:szCs w:val="20"/>
              </w:rPr>
              <w:lastRenderedPageBreak/>
              <w:t xml:space="preserve">Table </w:t>
            </w:r>
            <w:r w:rsidR="00433958">
              <w:rPr>
                <w:b/>
                <w:sz w:val="18"/>
                <w:szCs w:val="20"/>
              </w:rPr>
              <w:t>A.</w:t>
            </w:r>
            <w:r w:rsidRPr="00ED504D">
              <w:rPr>
                <w:b/>
                <w:sz w:val="18"/>
                <w:szCs w:val="20"/>
              </w:rPr>
              <w:t>1</w:t>
            </w:r>
          </w:p>
          <w:p w:rsidR="0051010B" w:rsidRPr="00ED504D" w:rsidRDefault="0051010B" w:rsidP="0051010B">
            <w:pPr>
              <w:jc w:val="center"/>
              <w:rPr>
                <w:b/>
                <w:sz w:val="18"/>
                <w:szCs w:val="20"/>
              </w:rPr>
            </w:pPr>
            <w:r w:rsidRPr="00ED504D">
              <w:rPr>
                <w:b/>
                <w:sz w:val="18"/>
                <w:szCs w:val="20"/>
              </w:rPr>
              <w:t>Regressions of excess sovereign bond returns on changes in the international risk factor</w:t>
            </w:r>
          </w:p>
        </w:tc>
      </w:tr>
      <w:tr w:rsidR="0051010B" w:rsidRPr="00ED504D" w:rsidTr="006C43BF">
        <w:trPr>
          <w:gridAfter w:val="1"/>
          <w:wAfter w:w="29" w:type="dxa"/>
          <w:trHeight w:val="20"/>
          <w:jc w:val="center"/>
        </w:trPr>
        <w:tc>
          <w:tcPr>
            <w:tcW w:w="14740" w:type="dxa"/>
            <w:gridSpan w:val="16"/>
            <w:tcBorders>
              <w:bottom w:val="single" w:sz="4" w:space="0" w:color="auto"/>
            </w:tcBorders>
          </w:tcPr>
          <w:p w:rsidR="0051010B" w:rsidRPr="00ED504D" w:rsidRDefault="0051010B" w:rsidP="0051010B">
            <w:pPr>
              <w:autoSpaceDE w:val="0"/>
              <w:autoSpaceDN w:val="0"/>
              <w:adjustRightInd w:val="0"/>
              <w:jc w:val="both"/>
              <w:rPr>
                <w:sz w:val="18"/>
                <w:szCs w:val="20"/>
              </w:rPr>
            </w:pPr>
            <w:r w:rsidRPr="00ED504D">
              <w:rPr>
                <w:sz w:val="18"/>
                <w:szCs w:val="20"/>
              </w:rPr>
              <w:t xml:space="preserve">This table reports the coefficients of the international risk factor estimated with the following pooled regression model: </w:t>
            </w:r>
          </w:p>
          <w:p w:rsidR="0051010B" w:rsidRPr="00ED504D" w:rsidRDefault="00CE06E1" w:rsidP="0051010B">
            <w:pPr>
              <w:autoSpaceDE w:val="0"/>
              <w:autoSpaceDN w:val="0"/>
              <w:adjustRightInd w:val="0"/>
              <w:jc w:val="both"/>
              <w:rPr>
                <w:sz w:val="18"/>
              </w:rPr>
            </w:pPr>
            <m:oMathPara>
              <m:oMath>
                <m:sSub>
                  <m:sSubPr>
                    <m:ctrlPr>
                      <w:rPr>
                        <w:rFonts w:ascii="Cambria Math" w:hAnsi="Cambria Math"/>
                        <w:i/>
                        <w:sz w:val="18"/>
                      </w:rPr>
                    </m:ctrlPr>
                  </m:sSubPr>
                  <m:e>
                    <m:r>
                      <w:rPr>
                        <w:rFonts w:ascii="Cambria Math" w:hAnsi="Cambria Math"/>
                        <w:sz w:val="18"/>
                      </w:rPr>
                      <m:t>RB</m:t>
                    </m:r>
                  </m:e>
                  <m:sub>
                    <m:r>
                      <w:rPr>
                        <w:rFonts w:ascii="Cambria Math" w:hAnsi="Cambria Math"/>
                        <w:sz w:val="18"/>
                      </w:rPr>
                      <m:t>i,cr,t</m:t>
                    </m:r>
                  </m:sub>
                </m:sSub>
                <m:r>
                  <w:rPr>
                    <w:rFonts w:ascii="Cambria Math" w:hAnsi="Cambria Math"/>
                    <w:sz w:val="18"/>
                  </w:rPr>
                  <m:t>-</m:t>
                </m:r>
                <m:sSub>
                  <m:sSubPr>
                    <m:ctrlPr>
                      <w:rPr>
                        <w:rFonts w:ascii="Cambria Math" w:hAnsi="Cambria Math"/>
                        <w:i/>
                        <w:sz w:val="18"/>
                      </w:rPr>
                    </m:ctrlPr>
                  </m:sSubPr>
                  <m:e>
                    <m:r>
                      <w:rPr>
                        <w:rFonts w:ascii="Cambria Math" w:hAnsi="Cambria Math"/>
                        <w:sz w:val="18"/>
                      </w:rPr>
                      <m:t>RECB</m:t>
                    </m:r>
                  </m:e>
                  <m:sub>
                    <m:r>
                      <w:rPr>
                        <w:rFonts w:ascii="Cambria Math" w:hAnsi="Cambria Math"/>
                        <w:sz w:val="18"/>
                      </w:rPr>
                      <m:t>t</m:t>
                    </m:r>
                  </m:sub>
                </m:sSub>
                <m:r>
                  <w:rPr>
                    <w:rFonts w:ascii="Cambria Math" w:hAnsi="Cambria Math"/>
                    <w:sz w:val="18"/>
                  </w:rPr>
                  <m:t>=c+β</m:t>
                </m:r>
                <m:sSub>
                  <m:sSubPr>
                    <m:ctrlPr>
                      <w:rPr>
                        <w:rFonts w:ascii="Cambria Math" w:hAnsi="Cambria Math"/>
                        <w:i/>
                        <w:sz w:val="18"/>
                      </w:rPr>
                    </m:ctrlPr>
                  </m:sSubPr>
                  <m:e>
                    <m:r>
                      <w:rPr>
                        <w:rFonts w:ascii="Cambria Math" w:hAnsi="Cambria Math"/>
                        <w:sz w:val="18"/>
                      </w:rPr>
                      <m:t>X</m:t>
                    </m:r>
                  </m:e>
                  <m:sub>
                    <m:r>
                      <w:rPr>
                        <w:rFonts w:ascii="Cambria Math" w:hAnsi="Cambria Math"/>
                        <w:sz w:val="18"/>
                      </w:rPr>
                      <m:t>t</m:t>
                    </m:r>
                  </m:sub>
                </m:sSub>
                <m:r>
                  <w:rPr>
                    <w:rFonts w:ascii="Cambria Math" w:hAnsi="Cambria Math"/>
                    <w:sz w:val="18"/>
                  </w:rPr>
                  <m:t>+</m:t>
                </m:r>
                <m:sSub>
                  <m:sSubPr>
                    <m:ctrlPr>
                      <w:rPr>
                        <w:rFonts w:ascii="Cambria Math" w:hAnsi="Cambria Math"/>
                        <w:i/>
                        <w:sz w:val="18"/>
                      </w:rPr>
                    </m:ctrlPr>
                  </m:sSubPr>
                  <m:e>
                    <m:r>
                      <w:rPr>
                        <w:rFonts w:ascii="Cambria Math" w:hAnsi="Cambria Math"/>
                        <w:sz w:val="18"/>
                      </w:rPr>
                      <m:t>ε</m:t>
                    </m:r>
                  </m:e>
                  <m:sub>
                    <m:r>
                      <w:rPr>
                        <w:rFonts w:ascii="Cambria Math" w:hAnsi="Cambria Math"/>
                        <w:sz w:val="18"/>
                      </w:rPr>
                      <m:t>i,cr,t</m:t>
                    </m:r>
                  </m:sub>
                </m:sSub>
                <m:r>
                  <w:rPr>
                    <w:rFonts w:ascii="Cambria Math" w:hAnsi="Cambria Math"/>
                    <w:sz w:val="18"/>
                  </w:rPr>
                  <m:t xml:space="preserve"> </m:t>
                </m:r>
              </m:oMath>
            </m:oMathPara>
          </w:p>
          <w:p w:rsidR="0051010B" w:rsidRPr="00ED504D" w:rsidRDefault="0051010B" w:rsidP="00042F3D">
            <w:pPr>
              <w:jc w:val="both"/>
              <w:rPr>
                <w:sz w:val="18"/>
                <w:szCs w:val="20"/>
              </w:rPr>
            </w:pPr>
            <w:r w:rsidRPr="00ED504D">
              <w:rPr>
                <w:sz w:val="18"/>
                <w:szCs w:val="20"/>
              </w:rPr>
              <w:t xml:space="preserve">where RB represents the bond specific return, </w:t>
            </w:r>
            <w:r w:rsidR="00A46131">
              <w:rPr>
                <w:sz w:val="18"/>
                <w:szCs w:val="20"/>
              </w:rPr>
              <w:t>X is either the international risk factor or its constituents,</w:t>
            </w:r>
            <w:r w:rsidR="00A46131" w:rsidRPr="00ED504D">
              <w:rPr>
                <w:sz w:val="18"/>
                <w:szCs w:val="20"/>
              </w:rPr>
              <w:t xml:space="preserve"> and RECB is the return  of the 3 month ECB rate</w:t>
            </w:r>
            <w:r w:rsidR="00A46131">
              <w:rPr>
                <w:sz w:val="18"/>
                <w:szCs w:val="20"/>
              </w:rPr>
              <w:t>. The international risk factor (</w:t>
            </w:r>
            <w:r w:rsidR="00A46131" w:rsidRPr="00ED504D">
              <w:rPr>
                <w:sz w:val="18"/>
                <w:szCs w:val="20"/>
              </w:rPr>
              <w:t>ΔIntR</w:t>
            </w:r>
            <w:r w:rsidR="00A46131">
              <w:rPr>
                <w:sz w:val="18"/>
                <w:szCs w:val="20"/>
              </w:rPr>
              <w:t>)</w:t>
            </w:r>
            <w:r w:rsidRPr="00ED504D">
              <w:rPr>
                <w:sz w:val="18"/>
                <w:szCs w:val="20"/>
              </w:rPr>
              <w:t xml:space="preserve"> refers to changes in the difference between the 10 year US interest rate swap</w:t>
            </w:r>
            <w:r w:rsidR="00A46131">
              <w:rPr>
                <w:sz w:val="18"/>
                <w:szCs w:val="20"/>
              </w:rPr>
              <w:t xml:space="preserve"> (ΔIRS10Y)</w:t>
            </w:r>
            <w:r w:rsidRPr="00ED504D">
              <w:rPr>
                <w:sz w:val="18"/>
                <w:szCs w:val="20"/>
              </w:rPr>
              <w:t xml:space="preserve"> and the </w:t>
            </w:r>
            <w:r w:rsidR="00A46131">
              <w:rPr>
                <w:sz w:val="18"/>
                <w:szCs w:val="20"/>
              </w:rPr>
              <w:t>10 year US government bond rate (ΔGov10Y).</w:t>
            </w:r>
            <w:r w:rsidRPr="00ED504D">
              <w:rPr>
                <w:sz w:val="18"/>
                <w:szCs w:val="20"/>
              </w:rPr>
              <w:t xml:space="preserve"> We employ daily observations. For each sub-period, regressions variables are winsorized at 1% - 99% taking into account all time-series observations and demeaned at the bond level. </w:t>
            </w:r>
            <w:r w:rsidRPr="00ED504D">
              <w:rPr>
                <w:rFonts w:ascii="Calibri" w:hAnsi="Calibri"/>
                <w:color w:val="000000"/>
                <w:sz w:val="18"/>
                <w:szCs w:val="20"/>
              </w:rPr>
              <w:t xml:space="preserve">Sub-periods are 01 Apr 2003 to 31 Aug 2007 for the pre-crisis period, 01 Sep 2007 and 31 Dec 2009 for the subprime crisis period and the sovereign crisis period is split into two parts, 01 Jan 2010 to 30 Dec 2011 and between 01 Jan 2012 to 31 Dec 2013, respectively. </w:t>
            </w:r>
            <w:r w:rsidRPr="00ED504D">
              <w:rPr>
                <w:sz w:val="18"/>
                <w:szCs w:val="20"/>
              </w:rPr>
              <w:t xml:space="preserve">White cross-section standard errors &amp; covariance are used. </w:t>
            </w:r>
            <w:r w:rsidRPr="00ED504D">
              <w:rPr>
                <w:rFonts w:ascii="Cambria Math" w:hAnsi="Cambria Math" w:cs="Cambria Math"/>
                <w:sz w:val="18"/>
                <w:szCs w:val="20"/>
              </w:rPr>
              <w:t>∗∗∗</w:t>
            </w:r>
            <w:r w:rsidRPr="00ED504D">
              <w:rPr>
                <w:sz w:val="18"/>
                <w:szCs w:val="20"/>
              </w:rPr>
              <w:t xml:space="preserve">, </w:t>
            </w:r>
            <w:r w:rsidRPr="00ED504D">
              <w:rPr>
                <w:rFonts w:ascii="Cambria Math" w:hAnsi="Cambria Math" w:cs="Cambria Math"/>
                <w:sz w:val="18"/>
                <w:szCs w:val="20"/>
              </w:rPr>
              <w:t>∗∗</w:t>
            </w:r>
            <w:r w:rsidRPr="00ED504D">
              <w:rPr>
                <w:sz w:val="18"/>
                <w:szCs w:val="20"/>
              </w:rPr>
              <w:t xml:space="preserve">, and </w:t>
            </w:r>
            <w:r w:rsidRPr="00ED504D">
              <w:rPr>
                <w:rFonts w:ascii="Cambria Math" w:hAnsi="Cambria Math" w:cs="Cambria Math"/>
                <w:sz w:val="18"/>
                <w:szCs w:val="20"/>
              </w:rPr>
              <w:t>∗</w:t>
            </w:r>
            <w:r w:rsidRPr="00ED504D">
              <w:rPr>
                <w:sz w:val="18"/>
                <w:szCs w:val="20"/>
              </w:rPr>
              <w:t xml:space="preserve"> represent statistical significance at the 1%, 5%, and 10% level, respectively. Adjusted-R</w:t>
            </w:r>
            <w:r w:rsidRPr="00ED504D">
              <w:rPr>
                <w:sz w:val="18"/>
                <w:szCs w:val="20"/>
                <w:vertAlign w:val="superscript"/>
              </w:rPr>
              <w:t>2</w:t>
            </w:r>
            <w:r w:rsidRPr="00ED504D">
              <w:rPr>
                <w:sz w:val="18"/>
                <w:szCs w:val="20"/>
              </w:rPr>
              <w:t xml:space="preserve">s are presented below each coefficient. For brevity, the coefficients for the constant are not reported. The number of observations used in each regression is presented in Appendix </w:t>
            </w:r>
            <w:r w:rsidR="00042F3D">
              <w:rPr>
                <w:sz w:val="18"/>
                <w:szCs w:val="20"/>
              </w:rPr>
              <w:t>F</w:t>
            </w:r>
            <w:r w:rsidRPr="00ED504D">
              <w:rPr>
                <w:sz w:val="18"/>
                <w:szCs w:val="20"/>
              </w:rPr>
              <w:t>.</w:t>
            </w:r>
          </w:p>
        </w:tc>
      </w:tr>
      <w:tr w:rsidR="00ED504D" w:rsidRPr="00ED504D" w:rsidTr="006C43BF">
        <w:trPr>
          <w:trHeight w:val="20"/>
          <w:jc w:val="center"/>
        </w:trPr>
        <w:tc>
          <w:tcPr>
            <w:tcW w:w="1134" w:type="dxa"/>
          </w:tcPr>
          <w:p w:rsidR="00ED504D" w:rsidRPr="00ED504D" w:rsidRDefault="00ED504D" w:rsidP="00E759EB">
            <w:pPr>
              <w:jc w:val="center"/>
              <w:rPr>
                <w:sz w:val="18"/>
                <w:szCs w:val="20"/>
              </w:rPr>
            </w:pPr>
          </w:p>
        </w:tc>
        <w:tc>
          <w:tcPr>
            <w:tcW w:w="236" w:type="dxa"/>
            <w:vAlign w:val="center"/>
          </w:tcPr>
          <w:p w:rsidR="00ED504D" w:rsidRPr="00ED504D" w:rsidRDefault="00ED504D" w:rsidP="00E759EB">
            <w:pPr>
              <w:jc w:val="center"/>
              <w:rPr>
                <w:sz w:val="18"/>
                <w:szCs w:val="20"/>
              </w:rPr>
            </w:pPr>
          </w:p>
        </w:tc>
        <w:tc>
          <w:tcPr>
            <w:tcW w:w="4309" w:type="dxa"/>
            <w:gridSpan w:val="4"/>
            <w:vAlign w:val="center"/>
          </w:tcPr>
          <w:p w:rsidR="00ED504D" w:rsidRPr="00ED504D" w:rsidRDefault="00CE06E1" w:rsidP="00E759EB">
            <w:pPr>
              <w:jc w:val="center"/>
              <w:rPr>
                <w:sz w:val="18"/>
                <w:szCs w:val="20"/>
              </w:rPr>
            </w:pPr>
            <m:oMathPara>
              <m:oMath>
                <m:sSub>
                  <m:sSubPr>
                    <m:ctrlPr>
                      <w:rPr>
                        <w:rFonts w:ascii="Cambria Math" w:hAnsi="Cambria Math"/>
                        <w:i/>
                        <w:sz w:val="18"/>
                      </w:rPr>
                    </m:ctrlPr>
                  </m:sSubPr>
                  <m:e>
                    <m:r>
                      <w:rPr>
                        <w:rFonts w:ascii="Cambria Math" w:hAnsi="Cambria Math"/>
                        <w:sz w:val="18"/>
                      </w:rPr>
                      <m:t>∆IntR</m:t>
                    </m:r>
                  </m:e>
                  <m:sub>
                    <m:r>
                      <w:rPr>
                        <w:rFonts w:ascii="Cambria Math" w:hAnsi="Cambria Math"/>
                        <w:sz w:val="18"/>
                      </w:rPr>
                      <m:t>t</m:t>
                    </m:r>
                  </m:sub>
                </m:sSub>
              </m:oMath>
            </m:oMathPara>
          </w:p>
        </w:tc>
        <w:tc>
          <w:tcPr>
            <w:tcW w:w="236" w:type="dxa"/>
          </w:tcPr>
          <w:p w:rsidR="00ED504D" w:rsidRPr="00ED504D" w:rsidRDefault="00ED504D" w:rsidP="00E759EB">
            <w:pPr>
              <w:jc w:val="center"/>
              <w:rPr>
                <w:sz w:val="18"/>
                <w:szCs w:val="20"/>
              </w:rPr>
            </w:pPr>
          </w:p>
        </w:tc>
        <w:tc>
          <w:tcPr>
            <w:tcW w:w="4309" w:type="dxa"/>
            <w:gridSpan w:val="4"/>
            <w:vAlign w:val="center"/>
          </w:tcPr>
          <w:p w:rsidR="00ED504D" w:rsidRPr="00ED504D" w:rsidRDefault="00CE06E1" w:rsidP="009E50AA">
            <w:pPr>
              <w:jc w:val="center"/>
              <w:rPr>
                <w:sz w:val="18"/>
                <w:szCs w:val="20"/>
              </w:rPr>
            </w:pPr>
            <m:oMathPara>
              <m:oMath>
                <m:sSub>
                  <m:sSubPr>
                    <m:ctrlPr>
                      <w:rPr>
                        <w:rFonts w:ascii="Cambria Math" w:hAnsi="Cambria Math"/>
                        <w:i/>
                        <w:sz w:val="18"/>
                      </w:rPr>
                    </m:ctrlPr>
                  </m:sSubPr>
                  <m:e>
                    <m:r>
                      <w:rPr>
                        <w:rFonts w:ascii="Cambria Math" w:hAnsi="Cambria Math"/>
                        <w:sz w:val="18"/>
                      </w:rPr>
                      <m:t>∆IRS10Y</m:t>
                    </m:r>
                  </m:e>
                  <m:sub>
                    <m:r>
                      <w:rPr>
                        <w:rFonts w:ascii="Cambria Math" w:hAnsi="Cambria Math"/>
                        <w:sz w:val="18"/>
                      </w:rPr>
                      <m:t>t</m:t>
                    </m:r>
                  </m:sub>
                </m:sSub>
              </m:oMath>
            </m:oMathPara>
          </w:p>
        </w:tc>
        <w:tc>
          <w:tcPr>
            <w:tcW w:w="236" w:type="dxa"/>
          </w:tcPr>
          <w:p w:rsidR="00ED504D" w:rsidRPr="00ED504D" w:rsidRDefault="00ED504D" w:rsidP="007404B1">
            <w:pPr>
              <w:jc w:val="center"/>
              <w:rPr>
                <w:sz w:val="18"/>
                <w:szCs w:val="20"/>
              </w:rPr>
            </w:pPr>
          </w:p>
        </w:tc>
        <w:tc>
          <w:tcPr>
            <w:tcW w:w="4309" w:type="dxa"/>
            <w:gridSpan w:val="5"/>
            <w:vAlign w:val="center"/>
          </w:tcPr>
          <w:p w:rsidR="00ED504D" w:rsidRPr="00ED504D" w:rsidRDefault="00CE06E1" w:rsidP="009E50AA">
            <w:pPr>
              <w:jc w:val="center"/>
              <w:rPr>
                <w:sz w:val="18"/>
                <w:szCs w:val="20"/>
              </w:rPr>
            </w:pPr>
            <m:oMathPara>
              <m:oMath>
                <m:sSub>
                  <m:sSubPr>
                    <m:ctrlPr>
                      <w:rPr>
                        <w:rFonts w:ascii="Cambria Math" w:hAnsi="Cambria Math"/>
                        <w:i/>
                        <w:sz w:val="18"/>
                      </w:rPr>
                    </m:ctrlPr>
                  </m:sSubPr>
                  <m:e>
                    <m:r>
                      <w:rPr>
                        <w:rFonts w:ascii="Cambria Math" w:hAnsi="Cambria Math"/>
                        <w:sz w:val="18"/>
                      </w:rPr>
                      <m:t>∆Gov10Y</m:t>
                    </m:r>
                  </m:e>
                  <m:sub>
                    <m:r>
                      <w:rPr>
                        <w:rFonts w:ascii="Cambria Math" w:hAnsi="Cambria Math"/>
                        <w:sz w:val="18"/>
                      </w:rPr>
                      <m:t>t</m:t>
                    </m:r>
                  </m:sub>
                </m:sSub>
              </m:oMath>
            </m:oMathPara>
          </w:p>
        </w:tc>
      </w:tr>
      <w:tr w:rsidR="00ED504D" w:rsidRPr="00ED504D" w:rsidTr="006C43BF">
        <w:trPr>
          <w:trHeight w:val="20"/>
          <w:jc w:val="center"/>
        </w:trPr>
        <w:tc>
          <w:tcPr>
            <w:tcW w:w="1134" w:type="dxa"/>
          </w:tcPr>
          <w:p w:rsidR="00ED504D" w:rsidRPr="00ED504D" w:rsidRDefault="00ED504D" w:rsidP="00E759EB">
            <w:pPr>
              <w:jc w:val="center"/>
              <w:rPr>
                <w:sz w:val="18"/>
                <w:szCs w:val="20"/>
              </w:rPr>
            </w:pPr>
          </w:p>
        </w:tc>
        <w:tc>
          <w:tcPr>
            <w:tcW w:w="236" w:type="dxa"/>
            <w:vAlign w:val="center"/>
          </w:tcPr>
          <w:p w:rsidR="00ED504D" w:rsidRPr="00ED504D" w:rsidRDefault="00ED504D" w:rsidP="00E759EB">
            <w:pPr>
              <w:jc w:val="center"/>
              <w:rPr>
                <w:sz w:val="18"/>
                <w:szCs w:val="20"/>
              </w:rPr>
            </w:pPr>
          </w:p>
        </w:tc>
        <w:tc>
          <w:tcPr>
            <w:tcW w:w="1077" w:type="dxa"/>
            <w:tcBorders>
              <w:bottom w:val="single" w:sz="4" w:space="0" w:color="auto"/>
            </w:tcBorders>
            <w:vAlign w:val="center"/>
          </w:tcPr>
          <w:p w:rsidR="00ED504D" w:rsidRPr="00ED504D" w:rsidRDefault="00ED504D" w:rsidP="00E759EB">
            <w:pPr>
              <w:jc w:val="center"/>
              <w:rPr>
                <w:sz w:val="18"/>
                <w:szCs w:val="20"/>
              </w:rPr>
            </w:pPr>
            <w:r>
              <w:rPr>
                <w:sz w:val="18"/>
                <w:szCs w:val="20"/>
              </w:rPr>
              <w:t>I</w:t>
            </w:r>
          </w:p>
        </w:tc>
        <w:tc>
          <w:tcPr>
            <w:tcW w:w="1077" w:type="dxa"/>
            <w:tcBorders>
              <w:bottom w:val="single" w:sz="4" w:space="0" w:color="auto"/>
            </w:tcBorders>
            <w:vAlign w:val="center"/>
          </w:tcPr>
          <w:p w:rsidR="00ED504D" w:rsidRPr="00ED504D" w:rsidRDefault="00ED504D" w:rsidP="00ED504D">
            <w:pPr>
              <w:jc w:val="center"/>
              <w:rPr>
                <w:sz w:val="18"/>
                <w:szCs w:val="20"/>
              </w:rPr>
            </w:pPr>
            <w:r>
              <w:rPr>
                <w:sz w:val="18"/>
                <w:szCs w:val="20"/>
              </w:rPr>
              <w:t>II</w:t>
            </w:r>
          </w:p>
        </w:tc>
        <w:tc>
          <w:tcPr>
            <w:tcW w:w="1077" w:type="dxa"/>
            <w:tcBorders>
              <w:bottom w:val="single" w:sz="4" w:space="0" w:color="auto"/>
            </w:tcBorders>
            <w:vAlign w:val="center"/>
          </w:tcPr>
          <w:p w:rsidR="00ED504D" w:rsidRPr="00ED504D" w:rsidRDefault="00ED504D" w:rsidP="00E759EB">
            <w:pPr>
              <w:jc w:val="center"/>
              <w:rPr>
                <w:sz w:val="18"/>
                <w:szCs w:val="20"/>
              </w:rPr>
            </w:pPr>
            <w:r>
              <w:rPr>
                <w:sz w:val="18"/>
                <w:szCs w:val="20"/>
              </w:rPr>
              <w:t>III</w:t>
            </w:r>
          </w:p>
        </w:tc>
        <w:tc>
          <w:tcPr>
            <w:tcW w:w="1078" w:type="dxa"/>
            <w:tcBorders>
              <w:bottom w:val="single" w:sz="4" w:space="0" w:color="auto"/>
            </w:tcBorders>
            <w:vAlign w:val="center"/>
          </w:tcPr>
          <w:p w:rsidR="00ED504D" w:rsidRPr="00ED504D" w:rsidRDefault="00ED504D" w:rsidP="00E759EB">
            <w:pPr>
              <w:jc w:val="center"/>
              <w:rPr>
                <w:sz w:val="18"/>
                <w:szCs w:val="20"/>
              </w:rPr>
            </w:pPr>
            <w:r>
              <w:rPr>
                <w:sz w:val="18"/>
                <w:szCs w:val="20"/>
              </w:rPr>
              <w:t>IV</w:t>
            </w:r>
          </w:p>
        </w:tc>
        <w:tc>
          <w:tcPr>
            <w:tcW w:w="236" w:type="dxa"/>
          </w:tcPr>
          <w:p w:rsidR="00ED504D" w:rsidRPr="00ED504D" w:rsidRDefault="00ED504D" w:rsidP="00E759EB">
            <w:pPr>
              <w:jc w:val="center"/>
              <w:rPr>
                <w:sz w:val="18"/>
                <w:szCs w:val="20"/>
              </w:rPr>
            </w:pPr>
          </w:p>
        </w:tc>
        <w:tc>
          <w:tcPr>
            <w:tcW w:w="1077" w:type="dxa"/>
            <w:tcBorders>
              <w:bottom w:val="single" w:sz="4" w:space="0" w:color="auto"/>
            </w:tcBorders>
            <w:vAlign w:val="center"/>
          </w:tcPr>
          <w:p w:rsidR="00ED504D" w:rsidRPr="00ED504D" w:rsidRDefault="00ED504D" w:rsidP="007404B1">
            <w:pPr>
              <w:jc w:val="center"/>
              <w:rPr>
                <w:sz w:val="18"/>
                <w:szCs w:val="20"/>
              </w:rPr>
            </w:pPr>
            <w:r>
              <w:rPr>
                <w:sz w:val="18"/>
                <w:szCs w:val="20"/>
              </w:rPr>
              <w:t>I</w:t>
            </w:r>
          </w:p>
        </w:tc>
        <w:tc>
          <w:tcPr>
            <w:tcW w:w="1077" w:type="dxa"/>
            <w:tcBorders>
              <w:bottom w:val="single" w:sz="4" w:space="0" w:color="auto"/>
            </w:tcBorders>
            <w:vAlign w:val="center"/>
          </w:tcPr>
          <w:p w:rsidR="00ED504D" w:rsidRPr="00ED504D" w:rsidRDefault="00ED504D" w:rsidP="007404B1">
            <w:pPr>
              <w:jc w:val="center"/>
              <w:rPr>
                <w:sz w:val="18"/>
                <w:szCs w:val="20"/>
              </w:rPr>
            </w:pPr>
            <w:r>
              <w:rPr>
                <w:sz w:val="18"/>
                <w:szCs w:val="20"/>
              </w:rPr>
              <w:t>II</w:t>
            </w:r>
          </w:p>
        </w:tc>
        <w:tc>
          <w:tcPr>
            <w:tcW w:w="1077" w:type="dxa"/>
            <w:tcBorders>
              <w:bottom w:val="single" w:sz="4" w:space="0" w:color="auto"/>
            </w:tcBorders>
            <w:vAlign w:val="center"/>
          </w:tcPr>
          <w:p w:rsidR="00ED504D" w:rsidRPr="00ED504D" w:rsidRDefault="00ED504D" w:rsidP="007404B1">
            <w:pPr>
              <w:jc w:val="center"/>
              <w:rPr>
                <w:sz w:val="18"/>
                <w:szCs w:val="20"/>
              </w:rPr>
            </w:pPr>
            <w:r>
              <w:rPr>
                <w:sz w:val="18"/>
                <w:szCs w:val="20"/>
              </w:rPr>
              <w:t>III</w:t>
            </w:r>
          </w:p>
        </w:tc>
        <w:tc>
          <w:tcPr>
            <w:tcW w:w="1078" w:type="dxa"/>
            <w:tcBorders>
              <w:bottom w:val="single" w:sz="4" w:space="0" w:color="auto"/>
            </w:tcBorders>
            <w:vAlign w:val="center"/>
          </w:tcPr>
          <w:p w:rsidR="00ED504D" w:rsidRPr="00ED504D" w:rsidRDefault="00ED504D" w:rsidP="007404B1">
            <w:pPr>
              <w:jc w:val="center"/>
              <w:rPr>
                <w:sz w:val="18"/>
                <w:szCs w:val="20"/>
              </w:rPr>
            </w:pPr>
            <w:r>
              <w:rPr>
                <w:sz w:val="18"/>
                <w:szCs w:val="20"/>
              </w:rPr>
              <w:t>IV</w:t>
            </w:r>
          </w:p>
        </w:tc>
        <w:tc>
          <w:tcPr>
            <w:tcW w:w="236" w:type="dxa"/>
          </w:tcPr>
          <w:p w:rsidR="00ED504D" w:rsidRPr="00ED504D" w:rsidRDefault="00ED504D" w:rsidP="007404B1">
            <w:pPr>
              <w:jc w:val="center"/>
              <w:rPr>
                <w:sz w:val="18"/>
                <w:szCs w:val="20"/>
              </w:rPr>
            </w:pPr>
          </w:p>
        </w:tc>
        <w:tc>
          <w:tcPr>
            <w:tcW w:w="1077" w:type="dxa"/>
            <w:tcBorders>
              <w:bottom w:val="single" w:sz="4" w:space="0" w:color="auto"/>
            </w:tcBorders>
            <w:vAlign w:val="center"/>
          </w:tcPr>
          <w:p w:rsidR="00ED504D" w:rsidRPr="00ED504D" w:rsidRDefault="00ED504D" w:rsidP="007404B1">
            <w:pPr>
              <w:jc w:val="center"/>
              <w:rPr>
                <w:sz w:val="18"/>
                <w:szCs w:val="20"/>
              </w:rPr>
            </w:pPr>
            <w:r>
              <w:rPr>
                <w:sz w:val="18"/>
                <w:szCs w:val="20"/>
              </w:rPr>
              <w:t>I</w:t>
            </w:r>
          </w:p>
        </w:tc>
        <w:tc>
          <w:tcPr>
            <w:tcW w:w="1077" w:type="dxa"/>
            <w:tcBorders>
              <w:bottom w:val="single" w:sz="4" w:space="0" w:color="auto"/>
            </w:tcBorders>
            <w:vAlign w:val="center"/>
          </w:tcPr>
          <w:p w:rsidR="00ED504D" w:rsidRPr="00ED504D" w:rsidRDefault="00ED504D" w:rsidP="007404B1">
            <w:pPr>
              <w:jc w:val="center"/>
              <w:rPr>
                <w:sz w:val="18"/>
                <w:szCs w:val="20"/>
              </w:rPr>
            </w:pPr>
            <w:r>
              <w:rPr>
                <w:sz w:val="18"/>
                <w:szCs w:val="20"/>
              </w:rPr>
              <w:t>II</w:t>
            </w:r>
          </w:p>
        </w:tc>
        <w:tc>
          <w:tcPr>
            <w:tcW w:w="1077" w:type="dxa"/>
            <w:tcBorders>
              <w:bottom w:val="single" w:sz="4" w:space="0" w:color="auto"/>
            </w:tcBorders>
            <w:vAlign w:val="center"/>
          </w:tcPr>
          <w:p w:rsidR="00ED504D" w:rsidRPr="00ED504D" w:rsidRDefault="00ED504D" w:rsidP="007404B1">
            <w:pPr>
              <w:jc w:val="center"/>
              <w:rPr>
                <w:sz w:val="18"/>
                <w:szCs w:val="20"/>
              </w:rPr>
            </w:pPr>
            <w:r>
              <w:rPr>
                <w:sz w:val="18"/>
                <w:szCs w:val="20"/>
              </w:rPr>
              <w:t>III</w:t>
            </w:r>
          </w:p>
        </w:tc>
        <w:tc>
          <w:tcPr>
            <w:tcW w:w="1078" w:type="dxa"/>
            <w:gridSpan w:val="2"/>
            <w:tcBorders>
              <w:bottom w:val="single" w:sz="4" w:space="0" w:color="auto"/>
            </w:tcBorders>
            <w:vAlign w:val="center"/>
          </w:tcPr>
          <w:p w:rsidR="00ED504D" w:rsidRPr="00ED504D" w:rsidRDefault="00ED504D" w:rsidP="007404B1">
            <w:pPr>
              <w:jc w:val="center"/>
              <w:rPr>
                <w:sz w:val="18"/>
                <w:szCs w:val="20"/>
              </w:rPr>
            </w:pPr>
            <w:r>
              <w:rPr>
                <w:sz w:val="18"/>
                <w:szCs w:val="20"/>
              </w:rPr>
              <w:t>IV</w:t>
            </w:r>
          </w:p>
        </w:tc>
      </w:tr>
      <w:tr w:rsidR="001F7A12" w:rsidRPr="00ED504D" w:rsidTr="006C43BF">
        <w:trPr>
          <w:trHeight w:val="254"/>
          <w:jc w:val="center"/>
        </w:trPr>
        <w:tc>
          <w:tcPr>
            <w:tcW w:w="1134" w:type="dxa"/>
            <w:vMerge w:val="restart"/>
            <w:vAlign w:val="center"/>
          </w:tcPr>
          <w:p w:rsidR="001F7A12" w:rsidRPr="00ED504D" w:rsidRDefault="001F7A12" w:rsidP="006C43BF">
            <w:pPr>
              <w:rPr>
                <w:rFonts w:ascii="Calibri" w:hAnsi="Calibri"/>
                <w:color w:val="000000"/>
                <w:sz w:val="18"/>
                <w:szCs w:val="20"/>
              </w:rPr>
            </w:pPr>
            <w:r w:rsidRPr="00ED504D">
              <w:rPr>
                <w:rFonts w:ascii="Calibri" w:hAnsi="Calibri"/>
                <w:color w:val="000000"/>
                <w:sz w:val="18"/>
                <w:szCs w:val="20"/>
              </w:rPr>
              <w:t>Germany</w:t>
            </w:r>
          </w:p>
        </w:tc>
        <w:tc>
          <w:tcPr>
            <w:tcW w:w="236" w:type="dxa"/>
          </w:tcPr>
          <w:p w:rsidR="001F7A12" w:rsidRPr="00ED504D" w:rsidRDefault="001F7A12" w:rsidP="00E759EB">
            <w:pPr>
              <w:jc w:val="center"/>
              <w:rPr>
                <w:sz w:val="18"/>
                <w:szCs w:val="20"/>
              </w:rPr>
            </w:pPr>
          </w:p>
        </w:tc>
        <w:tc>
          <w:tcPr>
            <w:tcW w:w="1077" w:type="dxa"/>
            <w:tcBorders>
              <w:top w:val="single" w:sz="4" w:space="0" w:color="auto"/>
            </w:tcBorders>
            <w:vAlign w:val="center"/>
          </w:tcPr>
          <w:p w:rsidR="001F7A12" w:rsidRPr="001F7A12" w:rsidRDefault="001F7A12">
            <w:pPr>
              <w:rPr>
                <w:rFonts w:ascii="Calibri" w:hAnsi="Calibri"/>
                <w:b/>
                <w:bCs/>
                <w:color w:val="FF0000"/>
                <w:sz w:val="18"/>
                <w:szCs w:val="20"/>
              </w:rPr>
            </w:pPr>
            <w:r w:rsidRPr="001F7A12">
              <w:rPr>
                <w:rFonts w:ascii="Calibri" w:hAnsi="Calibri"/>
                <w:b/>
                <w:bCs/>
                <w:color w:val="FF0000"/>
                <w:sz w:val="18"/>
                <w:szCs w:val="20"/>
              </w:rPr>
              <w:t>-0.851 ***</w:t>
            </w:r>
          </w:p>
        </w:tc>
        <w:tc>
          <w:tcPr>
            <w:tcW w:w="1077" w:type="dxa"/>
            <w:tcBorders>
              <w:top w:val="single" w:sz="4" w:space="0" w:color="auto"/>
            </w:tcBorders>
            <w:vAlign w:val="center"/>
          </w:tcPr>
          <w:p w:rsidR="001F7A12" w:rsidRPr="001F7A12" w:rsidRDefault="001F7A12">
            <w:pPr>
              <w:rPr>
                <w:rFonts w:ascii="Calibri" w:hAnsi="Calibri"/>
                <w:b/>
                <w:bCs/>
                <w:color w:val="FF0000"/>
                <w:sz w:val="18"/>
                <w:szCs w:val="20"/>
              </w:rPr>
            </w:pPr>
            <w:r w:rsidRPr="001F7A12">
              <w:rPr>
                <w:rFonts w:ascii="Calibri" w:hAnsi="Calibri"/>
                <w:b/>
                <w:bCs/>
                <w:color w:val="FF0000"/>
                <w:sz w:val="18"/>
                <w:szCs w:val="20"/>
              </w:rPr>
              <w:t>-0.678 ***</w:t>
            </w:r>
          </w:p>
        </w:tc>
        <w:tc>
          <w:tcPr>
            <w:tcW w:w="1077" w:type="dxa"/>
            <w:tcBorders>
              <w:top w:val="single" w:sz="4" w:space="0" w:color="auto"/>
            </w:tcBorders>
            <w:vAlign w:val="center"/>
          </w:tcPr>
          <w:p w:rsidR="001F7A12" w:rsidRPr="001F7A12" w:rsidRDefault="001F7A12">
            <w:pPr>
              <w:rPr>
                <w:rFonts w:ascii="Calibri" w:hAnsi="Calibri"/>
                <w:b/>
                <w:bCs/>
                <w:color w:val="548DD4"/>
                <w:sz w:val="18"/>
                <w:szCs w:val="20"/>
              </w:rPr>
            </w:pPr>
            <w:r w:rsidRPr="001F7A12">
              <w:rPr>
                <w:rFonts w:ascii="Calibri" w:hAnsi="Calibri"/>
                <w:b/>
                <w:bCs/>
                <w:color w:val="548DD4"/>
                <w:sz w:val="18"/>
                <w:szCs w:val="20"/>
              </w:rPr>
              <w:t>1.089 **</w:t>
            </w:r>
          </w:p>
        </w:tc>
        <w:tc>
          <w:tcPr>
            <w:tcW w:w="1078" w:type="dxa"/>
            <w:tcBorders>
              <w:top w:val="single" w:sz="4" w:space="0" w:color="auto"/>
            </w:tcBorders>
            <w:vAlign w:val="center"/>
          </w:tcPr>
          <w:p w:rsidR="001F7A12" w:rsidRPr="001F7A12" w:rsidRDefault="001F7A12">
            <w:pPr>
              <w:rPr>
                <w:rFonts w:ascii="Calibri" w:hAnsi="Calibri"/>
                <w:color w:val="000000"/>
                <w:sz w:val="18"/>
                <w:szCs w:val="20"/>
              </w:rPr>
            </w:pPr>
            <w:r w:rsidRPr="001F7A12">
              <w:rPr>
                <w:rFonts w:ascii="Calibri" w:hAnsi="Calibri"/>
                <w:color w:val="000000"/>
                <w:sz w:val="18"/>
                <w:szCs w:val="20"/>
              </w:rPr>
              <w:t>0.379</w:t>
            </w:r>
          </w:p>
        </w:tc>
        <w:tc>
          <w:tcPr>
            <w:tcW w:w="236" w:type="dxa"/>
          </w:tcPr>
          <w:p w:rsidR="001F7A12" w:rsidRPr="00ED504D" w:rsidRDefault="001F7A12" w:rsidP="00E759EB">
            <w:pPr>
              <w:rPr>
                <w:rFonts w:ascii="Calibri" w:hAnsi="Calibri"/>
                <w:color w:val="000000"/>
                <w:sz w:val="18"/>
              </w:rPr>
            </w:pPr>
          </w:p>
        </w:tc>
        <w:tc>
          <w:tcPr>
            <w:tcW w:w="1077" w:type="dxa"/>
            <w:tcBorders>
              <w:top w:val="single" w:sz="4" w:space="0" w:color="auto"/>
            </w:tcBorders>
            <w:vAlign w:val="center"/>
          </w:tcPr>
          <w:p w:rsidR="001F7A12" w:rsidRPr="001F7A12" w:rsidRDefault="001F7A12">
            <w:pPr>
              <w:rPr>
                <w:rFonts w:ascii="Calibri" w:hAnsi="Calibri"/>
                <w:b/>
                <w:bCs/>
                <w:color w:val="FF0000"/>
                <w:sz w:val="18"/>
                <w:szCs w:val="20"/>
              </w:rPr>
            </w:pPr>
            <w:r w:rsidRPr="001F7A12">
              <w:rPr>
                <w:rFonts w:ascii="Calibri" w:hAnsi="Calibri"/>
                <w:b/>
                <w:bCs/>
                <w:color w:val="FF0000"/>
                <w:sz w:val="18"/>
                <w:szCs w:val="20"/>
              </w:rPr>
              <w:t>-2.204 ***</w:t>
            </w:r>
          </w:p>
        </w:tc>
        <w:tc>
          <w:tcPr>
            <w:tcW w:w="1077" w:type="dxa"/>
            <w:tcBorders>
              <w:top w:val="single" w:sz="4" w:space="0" w:color="auto"/>
            </w:tcBorders>
            <w:vAlign w:val="center"/>
          </w:tcPr>
          <w:p w:rsidR="001F7A12" w:rsidRPr="001F7A12" w:rsidRDefault="001F7A12">
            <w:pPr>
              <w:rPr>
                <w:rFonts w:ascii="Calibri" w:hAnsi="Calibri"/>
                <w:b/>
                <w:bCs/>
                <w:color w:val="FF0000"/>
                <w:sz w:val="18"/>
                <w:szCs w:val="20"/>
              </w:rPr>
            </w:pPr>
            <w:r w:rsidRPr="001F7A12">
              <w:rPr>
                <w:rFonts w:ascii="Calibri" w:hAnsi="Calibri"/>
                <w:b/>
                <w:bCs/>
                <w:color w:val="FF0000"/>
                <w:sz w:val="18"/>
                <w:szCs w:val="20"/>
              </w:rPr>
              <w:t>-1.702 ***</w:t>
            </w:r>
          </w:p>
        </w:tc>
        <w:tc>
          <w:tcPr>
            <w:tcW w:w="1077" w:type="dxa"/>
            <w:tcBorders>
              <w:top w:val="single" w:sz="4" w:space="0" w:color="auto"/>
            </w:tcBorders>
            <w:vAlign w:val="center"/>
          </w:tcPr>
          <w:p w:rsidR="001F7A12" w:rsidRPr="001F7A12" w:rsidRDefault="001F7A12">
            <w:pPr>
              <w:rPr>
                <w:rFonts w:ascii="Calibri" w:hAnsi="Calibri"/>
                <w:b/>
                <w:bCs/>
                <w:color w:val="FF0000"/>
                <w:sz w:val="18"/>
                <w:szCs w:val="20"/>
              </w:rPr>
            </w:pPr>
            <w:r w:rsidRPr="001F7A12">
              <w:rPr>
                <w:rFonts w:ascii="Calibri" w:hAnsi="Calibri"/>
                <w:b/>
                <w:bCs/>
                <w:color w:val="FF0000"/>
                <w:sz w:val="18"/>
                <w:szCs w:val="20"/>
              </w:rPr>
              <w:t>-2.006 ***</w:t>
            </w:r>
          </w:p>
        </w:tc>
        <w:tc>
          <w:tcPr>
            <w:tcW w:w="1078" w:type="dxa"/>
            <w:tcBorders>
              <w:top w:val="single" w:sz="4" w:space="0" w:color="auto"/>
            </w:tcBorders>
            <w:vAlign w:val="center"/>
          </w:tcPr>
          <w:p w:rsidR="001F7A12" w:rsidRPr="001F7A12" w:rsidRDefault="001F7A12">
            <w:pPr>
              <w:rPr>
                <w:rFonts w:ascii="Calibri" w:hAnsi="Calibri"/>
                <w:b/>
                <w:bCs/>
                <w:color w:val="FF0000"/>
                <w:sz w:val="18"/>
                <w:szCs w:val="20"/>
              </w:rPr>
            </w:pPr>
            <w:r w:rsidRPr="001F7A12">
              <w:rPr>
                <w:rFonts w:ascii="Calibri" w:hAnsi="Calibri"/>
                <w:b/>
                <w:bCs/>
                <w:color w:val="FF0000"/>
                <w:sz w:val="18"/>
                <w:szCs w:val="20"/>
              </w:rPr>
              <w:t>-2.851 ***</w:t>
            </w:r>
          </w:p>
        </w:tc>
        <w:tc>
          <w:tcPr>
            <w:tcW w:w="236" w:type="dxa"/>
          </w:tcPr>
          <w:p w:rsidR="001F7A12" w:rsidRPr="006B31B1" w:rsidRDefault="001F7A12" w:rsidP="00E759EB">
            <w:pPr>
              <w:rPr>
                <w:rFonts w:ascii="Calibri" w:hAnsi="Calibri"/>
                <w:b/>
                <w:color w:val="FF0000"/>
                <w:sz w:val="18"/>
              </w:rPr>
            </w:pPr>
          </w:p>
        </w:tc>
        <w:tc>
          <w:tcPr>
            <w:tcW w:w="1077" w:type="dxa"/>
            <w:tcBorders>
              <w:top w:val="single" w:sz="4" w:space="0" w:color="auto"/>
            </w:tcBorders>
            <w:vAlign w:val="center"/>
          </w:tcPr>
          <w:p w:rsidR="001F7A12" w:rsidRPr="001F7A12" w:rsidRDefault="001F7A12">
            <w:pPr>
              <w:rPr>
                <w:rFonts w:ascii="Calibri" w:hAnsi="Calibri"/>
                <w:b/>
                <w:bCs/>
                <w:color w:val="FF0000"/>
                <w:sz w:val="18"/>
                <w:szCs w:val="20"/>
              </w:rPr>
            </w:pPr>
            <w:r w:rsidRPr="001F7A12">
              <w:rPr>
                <w:rFonts w:ascii="Calibri" w:hAnsi="Calibri"/>
                <w:b/>
                <w:bCs/>
                <w:color w:val="FF0000"/>
                <w:sz w:val="18"/>
                <w:szCs w:val="20"/>
              </w:rPr>
              <w:t>-1.776 ***</w:t>
            </w:r>
          </w:p>
        </w:tc>
        <w:tc>
          <w:tcPr>
            <w:tcW w:w="1077" w:type="dxa"/>
            <w:tcBorders>
              <w:top w:val="single" w:sz="4" w:space="0" w:color="auto"/>
            </w:tcBorders>
            <w:vAlign w:val="center"/>
          </w:tcPr>
          <w:p w:rsidR="001F7A12" w:rsidRPr="001F7A12" w:rsidRDefault="001F7A12">
            <w:pPr>
              <w:rPr>
                <w:rFonts w:ascii="Calibri" w:hAnsi="Calibri"/>
                <w:b/>
                <w:bCs/>
                <w:color w:val="FF0000"/>
                <w:sz w:val="18"/>
                <w:szCs w:val="20"/>
              </w:rPr>
            </w:pPr>
            <w:r w:rsidRPr="001F7A12">
              <w:rPr>
                <w:rFonts w:ascii="Calibri" w:hAnsi="Calibri"/>
                <w:b/>
                <w:bCs/>
                <w:color w:val="FF0000"/>
                <w:sz w:val="18"/>
                <w:szCs w:val="20"/>
              </w:rPr>
              <w:t>-1.532 ***</w:t>
            </w:r>
          </w:p>
        </w:tc>
        <w:tc>
          <w:tcPr>
            <w:tcW w:w="1077" w:type="dxa"/>
            <w:tcBorders>
              <w:top w:val="single" w:sz="4" w:space="0" w:color="auto"/>
            </w:tcBorders>
            <w:vAlign w:val="center"/>
          </w:tcPr>
          <w:p w:rsidR="001F7A12" w:rsidRPr="001F7A12" w:rsidRDefault="001F7A12">
            <w:pPr>
              <w:rPr>
                <w:rFonts w:ascii="Calibri" w:hAnsi="Calibri"/>
                <w:b/>
                <w:bCs/>
                <w:color w:val="FF0000"/>
                <w:sz w:val="18"/>
                <w:szCs w:val="20"/>
              </w:rPr>
            </w:pPr>
            <w:r w:rsidRPr="001F7A12">
              <w:rPr>
                <w:rFonts w:ascii="Calibri" w:hAnsi="Calibri"/>
                <w:b/>
                <w:bCs/>
                <w:color w:val="FF0000"/>
                <w:sz w:val="18"/>
                <w:szCs w:val="20"/>
              </w:rPr>
              <w:t>-2.142 ***</w:t>
            </w:r>
          </w:p>
        </w:tc>
        <w:tc>
          <w:tcPr>
            <w:tcW w:w="1078" w:type="dxa"/>
            <w:gridSpan w:val="2"/>
            <w:tcBorders>
              <w:top w:val="single" w:sz="4" w:space="0" w:color="auto"/>
            </w:tcBorders>
            <w:vAlign w:val="center"/>
          </w:tcPr>
          <w:p w:rsidR="001F7A12" w:rsidRPr="001F7A12" w:rsidRDefault="001F7A12">
            <w:pPr>
              <w:rPr>
                <w:rFonts w:ascii="Calibri" w:hAnsi="Calibri"/>
                <w:b/>
                <w:bCs/>
                <w:color w:val="FF0000"/>
                <w:sz w:val="18"/>
                <w:szCs w:val="20"/>
              </w:rPr>
            </w:pPr>
            <w:r w:rsidRPr="001F7A12">
              <w:rPr>
                <w:rFonts w:ascii="Calibri" w:hAnsi="Calibri"/>
                <w:b/>
                <w:bCs/>
                <w:color w:val="FF0000"/>
                <w:sz w:val="18"/>
                <w:szCs w:val="20"/>
              </w:rPr>
              <w:t>-2.970 ***</w:t>
            </w:r>
          </w:p>
        </w:tc>
      </w:tr>
      <w:tr w:rsidR="001F7A12" w:rsidRPr="00ED504D" w:rsidTr="006C43BF">
        <w:trPr>
          <w:trHeight w:val="254"/>
          <w:jc w:val="center"/>
        </w:trPr>
        <w:tc>
          <w:tcPr>
            <w:tcW w:w="1134" w:type="dxa"/>
            <w:vMerge/>
            <w:vAlign w:val="center"/>
          </w:tcPr>
          <w:p w:rsidR="001F7A12" w:rsidRPr="00ED504D" w:rsidRDefault="001F7A12" w:rsidP="006C43BF">
            <w:pPr>
              <w:rPr>
                <w:rFonts w:ascii="Calibri" w:hAnsi="Calibri"/>
                <w:color w:val="000000"/>
                <w:sz w:val="18"/>
                <w:szCs w:val="20"/>
              </w:rPr>
            </w:pPr>
          </w:p>
        </w:tc>
        <w:tc>
          <w:tcPr>
            <w:tcW w:w="236" w:type="dxa"/>
          </w:tcPr>
          <w:p w:rsidR="001F7A12" w:rsidRPr="006B31B1" w:rsidRDefault="001F7A12" w:rsidP="00E759EB">
            <w:pPr>
              <w:jc w:val="center"/>
              <w:rPr>
                <w:sz w:val="18"/>
                <w:szCs w:val="20"/>
              </w:rPr>
            </w:pPr>
          </w:p>
        </w:tc>
        <w:tc>
          <w:tcPr>
            <w:tcW w:w="1077" w:type="dxa"/>
            <w:vAlign w:val="center"/>
          </w:tcPr>
          <w:p w:rsidR="001F7A12" w:rsidRPr="001F7A12" w:rsidRDefault="001F7A12">
            <w:pPr>
              <w:jc w:val="right"/>
              <w:rPr>
                <w:rFonts w:ascii="Calibri" w:hAnsi="Calibri"/>
                <w:color w:val="000000"/>
                <w:sz w:val="18"/>
                <w:szCs w:val="18"/>
              </w:rPr>
            </w:pPr>
            <w:r w:rsidRPr="001F7A12">
              <w:rPr>
                <w:rFonts w:ascii="Calibri" w:hAnsi="Calibri"/>
                <w:color w:val="000000"/>
                <w:sz w:val="18"/>
                <w:szCs w:val="18"/>
              </w:rPr>
              <w:t>2.18%</w:t>
            </w:r>
          </w:p>
        </w:tc>
        <w:tc>
          <w:tcPr>
            <w:tcW w:w="1077" w:type="dxa"/>
            <w:vAlign w:val="center"/>
          </w:tcPr>
          <w:p w:rsidR="001F7A12" w:rsidRPr="001F7A12" w:rsidRDefault="001F7A12">
            <w:pPr>
              <w:jc w:val="right"/>
              <w:rPr>
                <w:rFonts w:ascii="Calibri" w:hAnsi="Calibri"/>
                <w:color w:val="000000"/>
                <w:sz w:val="18"/>
                <w:szCs w:val="18"/>
              </w:rPr>
            </w:pPr>
            <w:r w:rsidRPr="001F7A12">
              <w:rPr>
                <w:rFonts w:ascii="Calibri" w:hAnsi="Calibri"/>
                <w:color w:val="000000"/>
                <w:sz w:val="18"/>
                <w:szCs w:val="18"/>
              </w:rPr>
              <w:t>1.73%</w:t>
            </w:r>
          </w:p>
        </w:tc>
        <w:tc>
          <w:tcPr>
            <w:tcW w:w="1077" w:type="dxa"/>
            <w:vAlign w:val="center"/>
          </w:tcPr>
          <w:p w:rsidR="001F7A12" w:rsidRPr="001F7A12" w:rsidRDefault="001F7A12">
            <w:pPr>
              <w:jc w:val="right"/>
              <w:rPr>
                <w:rFonts w:ascii="Calibri" w:hAnsi="Calibri"/>
                <w:color w:val="000000"/>
                <w:sz w:val="18"/>
                <w:szCs w:val="18"/>
              </w:rPr>
            </w:pPr>
            <w:r w:rsidRPr="001F7A12">
              <w:rPr>
                <w:rFonts w:ascii="Calibri" w:hAnsi="Calibri"/>
                <w:color w:val="000000"/>
                <w:sz w:val="18"/>
                <w:szCs w:val="18"/>
              </w:rPr>
              <w:t>0.67%</w:t>
            </w:r>
          </w:p>
        </w:tc>
        <w:tc>
          <w:tcPr>
            <w:tcW w:w="1078" w:type="dxa"/>
            <w:vAlign w:val="center"/>
          </w:tcPr>
          <w:p w:rsidR="001F7A12" w:rsidRPr="001F7A12" w:rsidRDefault="001F7A12">
            <w:pPr>
              <w:jc w:val="right"/>
              <w:rPr>
                <w:rFonts w:ascii="Calibri" w:hAnsi="Calibri"/>
                <w:color w:val="000000"/>
                <w:sz w:val="18"/>
                <w:szCs w:val="18"/>
              </w:rPr>
            </w:pPr>
            <w:r w:rsidRPr="001F7A12">
              <w:rPr>
                <w:rFonts w:ascii="Calibri" w:hAnsi="Calibri"/>
                <w:color w:val="000000"/>
                <w:sz w:val="18"/>
                <w:szCs w:val="18"/>
              </w:rPr>
              <w:t>0.05%</w:t>
            </w:r>
          </w:p>
        </w:tc>
        <w:tc>
          <w:tcPr>
            <w:tcW w:w="236" w:type="dxa"/>
          </w:tcPr>
          <w:p w:rsidR="001F7A12" w:rsidRPr="006B31B1" w:rsidRDefault="001F7A12" w:rsidP="00E759EB">
            <w:pPr>
              <w:rPr>
                <w:rFonts w:ascii="Calibri" w:hAnsi="Calibri"/>
                <w:color w:val="000000"/>
                <w:sz w:val="18"/>
              </w:rPr>
            </w:pPr>
          </w:p>
        </w:tc>
        <w:tc>
          <w:tcPr>
            <w:tcW w:w="1077" w:type="dxa"/>
            <w:vAlign w:val="center"/>
          </w:tcPr>
          <w:p w:rsidR="001F7A12" w:rsidRPr="001F7A12" w:rsidRDefault="001F7A12">
            <w:pPr>
              <w:jc w:val="right"/>
              <w:rPr>
                <w:rFonts w:ascii="Calibri" w:hAnsi="Calibri"/>
                <w:color w:val="000000"/>
                <w:sz w:val="18"/>
                <w:szCs w:val="18"/>
              </w:rPr>
            </w:pPr>
            <w:r w:rsidRPr="001F7A12">
              <w:rPr>
                <w:rFonts w:ascii="Calibri" w:hAnsi="Calibri"/>
                <w:color w:val="000000"/>
                <w:sz w:val="18"/>
                <w:szCs w:val="18"/>
              </w:rPr>
              <w:t>25.42%</w:t>
            </w:r>
          </w:p>
        </w:tc>
        <w:tc>
          <w:tcPr>
            <w:tcW w:w="1077" w:type="dxa"/>
            <w:vAlign w:val="center"/>
          </w:tcPr>
          <w:p w:rsidR="001F7A12" w:rsidRPr="001F7A12" w:rsidRDefault="001F7A12">
            <w:pPr>
              <w:jc w:val="right"/>
              <w:rPr>
                <w:rFonts w:ascii="Calibri" w:hAnsi="Calibri"/>
                <w:color w:val="000000"/>
                <w:sz w:val="18"/>
                <w:szCs w:val="18"/>
              </w:rPr>
            </w:pPr>
            <w:r w:rsidRPr="001F7A12">
              <w:rPr>
                <w:rFonts w:ascii="Calibri" w:hAnsi="Calibri"/>
                <w:color w:val="000000"/>
                <w:sz w:val="18"/>
                <w:szCs w:val="18"/>
              </w:rPr>
              <w:t>19.14%</w:t>
            </w:r>
          </w:p>
        </w:tc>
        <w:tc>
          <w:tcPr>
            <w:tcW w:w="1077" w:type="dxa"/>
            <w:vAlign w:val="center"/>
          </w:tcPr>
          <w:p w:rsidR="001F7A12" w:rsidRPr="001F7A12" w:rsidRDefault="001F7A12">
            <w:pPr>
              <w:jc w:val="right"/>
              <w:rPr>
                <w:rFonts w:ascii="Calibri" w:hAnsi="Calibri"/>
                <w:color w:val="000000"/>
                <w:sz w:val="18"/>
                <w:szCs w:val="18"/>
              </w:rPr>
            </w:pPr>
            <w:r w:rsidRPr="001F7A12">
              <w:rPr>
                <w:rFonts w:ascii="Calibri" w:hAnsi="Calibri"/>
                <w:color w:val="000000"/>
                <w:sz w:val="18"/>
                <w:szCs w:val="18"/>
              </w:rPr>
              <w:t>13.27%</w:t>
            </w:r>
          </w:p>
        </w:tc>
        <w:tc>
          <w:tcPr>
            <w:tcW w:w="1078" w:type="dxa"/>
            <w:vAlign w:val="center"/>
          </w:tcPr>
          <w:p w:rsidR="001F7A12" w:rsidRPr="001F7A12" w:rsidRDefault="001F7A12">
            <w:pPr>
              <w:jc w:val="right"/>
              <w:rPr>
                <w:rFonts w:ascii="Calibri" w:hAnsi="Calibri"/>
                <w:color w:val="000000"/>
                <w:sz w:val="18"/>
                <w:szCs w:val="18"/>
              </w:rPr>
            </w:pPr>
            <w:r w:rsidRPr="001F7A12">
              <w:rPr>
                <w:rFonts w:ascii="Calibri" w:hAnsi="Calibri"/>
                <w:color w:val="000000"/>
                <w:sz w:val="18"/>
                <w:szCs w:val="18"/>
              </w:rPr>
              <w:t>18.84%</w:t>
            </w:r>
          </w:p>
        </w:tc>
        <w:tc>
          <w:tcPr>
            <w:tcW w:w="236" w:type="dxa"/>
          </w:tcPr>
          <w:p w:rsidR="001F7A12" w:rsidRPr="006B31B1" w:rsidRDefault="001F7A12" w:rsidP="00E759EB">
            <w:pPr>
              <w:rPr>
                <w:rFonts w:ascii="Calibri" w:hAnsi="Calibri"/>
                <w:color w:val="000000"/>
                <w:sz w:val="18"/>
              </w:rPr>
            </w:pPr>
          </w:p>
        </w:tc>
        <w:tc>
          <w:tcPr>
            <w:tcW w:w="1077" w:type="dxa"/>
            <w:vAlign w:val="center"/>
          </w:tcPr>
          <w:p w:rsidR="001F7A12" w:rsidRPr="001F7A12" w:rsidRDefault="001F7A12">
            <w:pPr>
              <w:jc w:val="right"/>
              <w:rPr>
                <w:rFonts w:ascii="Calibri" w:hAnsi="Calibri"/>
                <w:color w:val="000000"/>
                <w:sz w:val="18"/>
                <w:szCs w:val="18"/>
              </w:rPr>
            </w:pPr>
            <w:r w:rsidRPr="001F7A12">
              <w:rPr>
                <w:rFonts w:ascii="Calibri" w:hAnsi="Calibri"/>
                <w:color w:val="000000"/>
                <w:sz w:val="18"/>
                <w:szCs w:val="18"/>
              </w:rPr>
              <w:t>15.73%</w:t>
            </w:r>
          </w:p>
        </w:tc>
        <w:tc>
          <w:tcPr>
            <w:tcW w:w="1077" w:type="dxa"/>
            <w:vAlign w:val="center"/>
          </w:tcPr>
          <w:p w:rsidR="001F7A12" w:rsidRPr="001F7A12" w:rsidRDefault="001F7A12">
            <w:pPr>
              <w:jc w:val="right"/>
              <w:rPr>
                <w:rFonts w:ascii="Calibri" w:hAnsi="Calibri"/>
                <w:color w:val="000000"/>
                <w:sz w:val="18"/>
                <w:szCs w:val="18"/>
              </w:rPr>
            </w:pPr>
            <w:r w:rsidRPr="001F7A12">
              <w:rPr>
                <w:rFonts w:ascii="Calibri" w:hAnsi="Calibri"/>
                <w:color w:val="000000"/>
                <w:sz w:val="18"/>
                <w:szCs w:val="18"/>
              </w:rPr>
              <w:t>13.54%</w:t>
            </w:r>
          </w:p>
        </w:tc>
        <w:tc>
          <w:tcPr>
            <w:tcW w:w="1077" w:type="dxa"/>
            <w:vAlign w:val="center"/>
          </w:tcPr>
          <w:p w:rsidR="001F7A12" w:rsidRPr="001F7A12" w:rsidRDefault="001F7A12">
            <w:pPr>
              <w:jc w:val="right"/>
              <w:rPr>
                <w:rFonts w:ascii="Calibri" w:hAnsi="Calibri"/>
                <w:color w:val="000000"/>
                <w:sz w:val="18"/>
                <w:szCs w:val="18"/>
              </w:rPr>
            </w:pPr>
            <w:r w:rsidRPr="001F7A12">
              <w:rPr>
                <w:rFonts w:ascii="Calibri" w:hAnsi="Calibri"/>
                <w:color w:val="000000"/>
                <w:sz w:val="18"/>
                <w:szCs w:val="18"/>
              </w:rPr>
              <w:t>15.28%</w:t>
            </w:r>
          </w:p>
        </w:tc>
        <w:tc>
          <w:tcPr>
            <w:tcW w:w="1078" w:type="dxa"/>
            <w:gridSpan w:val="2"/>
            <w:vAlign w:val="center"/>
          </w:tcPr>
          <w:p w:rsidR="001F7A12" w:rsidRPr="001F7A12" w:rsidRDefault="001F7A12">
            <w:pPr>
              <w:jc w:val="right"/>
              <w:rPr>
                <w:rFonts w:ascii="Calibri" w:hAnsi="Calibri"/>
                <w:color w:val="000000"/>
                <w:sz w:val="18"/>
                <w:szCs w:val="18"/>
              </w:rPr>
            </w:pPr>
            <w:r w:rsidRPr="001F7A12">
              <w:rPr>
                <w:rFonts w:ascii="Calibri" w:hAnsi="Calibri"/>
                <w:color w:val="000000"/>
                <w:sz w:val="18"/>
                <w:szCs w:val="18"/>
              </w:rPr>
              <w:t>20.38%</w:t>
            </w:r>
          </w:p>
        </w:tc>
      </w:tr>
      <w:tr w:rsidR="001F7A12" w:rsidRPr="00ED504D" w:rsidTr="006C43BF">
        <w:trPr>
          <w:trHeight w:val="254"/>
          <w:jc w:val="center"/>
        </w:trPr>
        <w:tc>
          <w:tcPr>
            <w:tcW w:w="1134" w:type="dxa"/>
            <w:vMerge w:val="restart"/>
            <w:vAlign w:val="center"/>
          </w:tcPr>
          <w:p w:rsidR="001F7A12" w:rsidRPr="00ED504D" w:rsidRDefault="001F7A12" w:rsidP="006C43BF">
            <w:pPr>
              <w:rPr>
                <w:rFonts w:ascii="Calibri" w:hAnsi="Calibri"/>
                <w:color w:val="000000"/>
                <w:sz w:val="18"/>
                <w:szCs w:val="20"/>
              </w:rPr>
            </w:pPr>
            <w:r w:rsidRPr="00ED504D">
              <w:rPr>
                <w:rFonts w:ascii="Calibri" w:hAnsi="Calibri"/>
                <w:color w:val="000000"/>
                <w:sz w:val="18"/>
                <w:szCs w:val="20"/>
              </w:rPr>
              <w:t>Netherlands</w:t>
            </w:r>
          </w:p>
        </w:tc>
        <w:tc>
          <w:tcPr>
            <w:tcW w:w="236" w:type="dxa"/>
          </w:tcPr>
          <w:p w:rsidR="001F7A12" w:rsidRPr="00ED504D" w:rsidRDefault="001F7A12" w:rsidP="00E759EB">
            <w:pPr>
              <w:jc w:val="center"/>
              <w:rPr>
                <w:sz w:val="18"/>
                <w:szCs w:val="20"/>
              </w:rPr>
            </w:pPr>
          </w:p>
        </w:tc>
        <w:tc>
          <w:tcPr>
            <w:tcW w:w="1077" w:type="dxa"/>
            <w:vAlign w:val="center"/>
          </w:tcPr>
          <w:p w:rsidR="001F7A12" w:rsidRPr="001F7A12" w:rsidRDefault="001F7A12">
            <w:pPr>
              <w:rPr>
                <w:rFonts w:ascii="Calibri" w:hAnsi="Calibri"/>
                <w:b/>
                <w:bCs/>
                <w:color w:val="FF0000"/>
                <w:sz w:val="18"/>
                <w:szCs w:val="20"/>
              </w:rPr>
            </w:pPr>
            <w:r w:rsidRPr="001F7A12">
              <w:rPr>
                <w:rFonts w:ascii="Calibri" w:hAnsi="Calibri"/>
                <w:b/>
                <w:bCs/>
                <w:color w:val="FF0000"/>
                <w:sz w:val="18"/>
                <w:szCs w:val="20"/>
              </w:rPr>
              <w:t>-1.331 ***</w:t>
            </w:r>
          </w:p>
        </w:tc>
        <w:tc>
          <w:tcPr>
            <w:tcW w:w="1077" w:type="dxa"/>
            <w:vAlign w:val="center"/>
          </w:tcPr>
          <w:p w:rsidR="001F7A12" w:rsidRPr="001F7A12" w:rsidRDefault="001F7A12">
            <w:pPr>
              <w:rPr>
                <w:rFonts w:ascii="Calibri" w:hAnsi="Calibri"/>
                <w:b/>
                <w:bCs/>
                <w:color w:val="FF0000"/>
                <w:sz w:val="18"/>
                <w:szCs w:val="20"/>
              </w:rPr>
            </w:pPr>
            <w:r w:rsidRPr="001F7A12">
              <w:rPr>
                <w:rFonts w:ascii="Calibri" w:hAnsi="Calibri"/>
                <w:b/>
                <w:bCs/>
                <w:color w:val="FF0000"/>
                <w:sz w:val="18"/>
                <w:szCs w:val="20"/>
              </w:rPr>
              <w:t>-0.763 ***</w:t>
            </w:r>
          </w:p>
        </w:tc>
        <w:tc>
          <w:tcPr>
            <w:tcW w:w="1077" w:type="dxa"/>
            <w:vAlign w:val="center"/>
          </w:tcPr>
          <w:p w:rsidR="001F7A12" w:rsidRPr="001F7A12" w:rsidRDefault="001F7A12">
            <w:pPr>
              <w:rPr>
                <w:rFonts w:ascii="Calibri" w:hAnsi="Calibri"/>
                <w:b/>
                <w:bCs/>
                <w:color w:val="548DD4"/>
                <w:sz w:val="18"/>
                <w:szCs w:val="20"/>
              </w:rPr>
            </w:pPr>
            <w:r w:rsidRPr="001F7A12">
              <w:rPr>
                <w:rFonts w:ascii="Calibri" w:hAnsi="Calibri"/>
                <w:b/>
                <w:bCs/>
                <w:color w:val="548DD4"/>
                <w:sz w:val="18"/>
                <w:szCs w:val="20"/>
              </w:rPr>
              <w:t>1.069 *</w:t>
            </w:r>
          </w:p>
        </w:tc>
        <w:tc>
          <w:tcPr>
            <w:tcW w:w="1078" w:type="dxa"/>
            <w:vAlign w:val="center"/>
          </w:tcPr>
          <w:p w:rsidR="001F7A12" w:rsidRPr="001F7A12" w:rsidRDefault="001F7A12">
            <w:pPr>
              <w:rPr>
                <w:rFonts w:ascii="Calibri" w:hAnsi="Calibri"/>
                <w:color w:val="000000"/>
                <w:sz w:val="18"/>
                <w:szCs w:val="20"/>
              </w:rPr>
            </w:pPr>
            <w:r w:rsidRPr="001F7A12">
              <w:rPr>
                <w:rFonts w:ascii="Calibri" w:hAnsi="Calibri"/>
                <w:color w:val="000000"/>
                <w:sz w:val="18"/>
                <w:szCs w:val="20"/>
              </w:rPr>
              <w:t>0.322</w:t>
            </w:r>
          </w:p>
        </w:tc>
        <w:tc>
          <w:tcPr>
            <w:tcW w:w="236" w:type="dxa"/>
          </w:tcPr>
          <w:p w:rsidR="001F7A12" w:rsidRPr="00ED504D" w:rsidRDefault="001F7A12" w:rsidP="00E759EB">
            <w:pPr>
              <w:rPr>
                <w:rFonts w:ascii="Calibri" w:hAnsi="Calibri"/>
                <w:color w:val="000000"/>
                <w:sz w:val="18"/>
              </w:rPr>
            </w:pPr>
          </w:p>
        </w:tc>
        <w:tc>
          <w:tcPr>
            <w:tcW w:w="1077" w:type="dxa"/>
            <w:vAlign w:val="center"/>
          </w:tcPr>
          <w:p w:rsidR="001F7A12" w:rsidRPr="001F7A12" w:rsidRDefault="001F7A12">
            <w:pPr>
              <w:rPr>
                <w:rFonts w:ascii="Calibri" w:hAnsi="Calibri"/>
                <w:b/>
                <w:bCs/>
                <w:color w:val="FF0000"/>
                <w:sz w:val="18"/>
                <w:szCs w:val="20"/>
              </w:rPr>
            </w:pPr>
            <w:r w:rsidRPr="001F7A12">
              <w:rPr>
                <w:rFonts w:ascii="Calibri" w:hAnsi="Calibri"/>
                <w:b/>
                <w:bCs/>
                <w:color w:val="FF0000"/>
                <w:sz w:val="18"/>
                <w:szCs w:val="20"/>
              </w:rPr>
              <w:t>-3.235 ***</w:t>
            </w:r>
          </w:p>
        </w:tc>
        <w:tc>
          <w:tcPr>
            <w:tcW w:w="1077" w:type="dxa"/>
            <w:vAlign w:val="center"/>
          </w:tcPr>
          <w:p w:rsidR="001F7A12" w:rsidRPr="001F7A12" w:rsidRDefault="001F7A12">
            <w:pPr>
              <w:rPr>
                <w:rFonts w:ascii="Calibri" w:hAnsi="Calibri"/>
                <w:b/>
                <w:bCs/>
                <w:color w:val="FF0000"/>
                <w:sz w:val="18"/>
                <w:szCs w:val="20"/>
              </w:rPr>
            </w:pPr>
            <w:r w:rsidRPr="001F7A12">
              <w:rPr>
                <w:rFonts w:ascii="Calibri" w:hAnsi="Calibri"/>
                <w:b/>
                <w:bCs/>
                <w:color w:val="FF0000"/>
                <w:sz w:val="18"/>
                <w:szCs w:val="20"/>
              </w:rPr>
              <w:t>-2.041 ***</w:t>
            </w:r>
          </w:p>
        </w:tc>
        <w:tc>
          <w:tcPr>
            <w:tcW w:w="1077" w:type="dxa"/>
            <w:vAlign w:val="center"/>
          </w:tcPr>
          <w:p w:rsidR="001F7A12" w:rsidRPr="001F7A12" w:rsidRDefault="001F7A12">
            <w:pPr>
              <w:rPr>
                <w:rFonts w:ascii="Calibri" w:hAnsi="Calibri"/>
                <w:b/>
                <w:bCs/>
                <w:color w:val="FF0000"/>
                <w:sz w:val="18"/>
                <w:szCs w:val="20"/>
              </w:rPr>
            </w:pPr>
            <w:r w:rsidRPr="001F7A12">
              <w:rPr>
                <w:rFonts w:ascii="Calibri" w:hAnsi="Calibri"/>
                <w:b/>
                <w:bCs/>
                <w:color w:val="FF0000"/>
                <w:sz w:val="18"/>
                <w:szCs w:val="20"/>
              </w:rPr>
              <w:t>-2.126 ***</w:t>
            </w:r>
          </w:p>
        </w:tc>
        <w:tc>
          <w:tcPr>
            <w:tcW w:w="1078" w:type="dxa"/>
            <w:vAlign w:val="center"/>
          </w:tcPr>
          <w:p w:rsidR="001F7A12" w:rsidRPr="001F7A12" w:rsidRDefault="001F7A12">
            <w:pPr>
              <w:rPr>
                <w:rFonts w:ascii="Calibri" w:hAnsi="Calibri"/>
                <w:b/>
                <w:bCs/>
                <w:color w:val="FF0000"/>
                <w:sz w:val="18"/>
                <w:szCs w:val="20"/>
              </w:rPr>
            </w:pPr>
            <w:r w:rsidRPr="001F7A12">
              <w:rPr>
                <w:rFonts w:ascii="Calibri" w:hAnsi="Calibri"/>
                <w:b/>
                <w:bCs/>
                <w:color w:val="FF0000"/>
                <w:sz w:val="18"/>
                <w:szCs w:val="20"/>
              </w:rPr>
              <w:t>-2.691 ***</w:t>
            </w:r>
          </w:p>
        </w:tc>
        <w:tc>
          <w:tcPr>
            <w:tcW w:w="236" w:type="dxa"/>
          </w:tcPr>
          <w:p w:rsidR="001F7A12" w:rsidRPr="006B31B1" w:rsidRDefault="001F7A12" w:rsidP="00E759EB">
            <w:pPr>
              <w:rPr>
                <w:rFonts w:ascii="Calibri" w:hAnsi="Calibri"/>
                <w:b/>
                <w:color w:val="FF0000"/>
                <w:sz w:val="18"/>
              </w:rPr>
            </w:pPr>
          </w:p>
        </w:tc>
        <w:tc>
          <w:tcPr>
            <w:tcW w:w="1077" w:type="dxa"/>
            <w:vAlign w:val="center"/>
          </w:tcPr>
          <w:p w:rsidR="001F7A12" w:rsidRPr="001F7A12" w:rsidRDefault="001F7A12">
            <w:pPr>
              <w:rPr>
                <w:rFonts w:ascii="Calibri" w:hAnsi="Calibri"/>
                <w:b/>
                <w:bCs/>
                <w:color w:val="FF0000"/>
                <w:sz w:val="18"/>
                <w:szCs w:val="20"/>
              </w:rPr>
            </w:pPr>
            <w:r w:rsidRPr="001F7A12">
              <w:rPr>
                <w:rFonts w:ascii="Calibri" w:hAnsi="Calibri"/>
                <w:b/>
                <w:bCs/>
                <w:color w:val="FF0000"/>
                <w:sz w:val="18"/>
                <w:szCs w:val="20"/>
              </w:rPr>
              <w:t>-2.754 ***</w:t>
            </w:r>
          </w:p>
        </w:tc>
        <w:tc>
          <w:tcPr>
            <w:tcW w:w="1077" w:type="dxa"/>
            <w:vAlign w:val="center"/>
          </w:tcPr>
          <w:p w:rsidR="001F7A12" w:rsidRPr="001F7A12" w:rsidRDefault="001F7A12">
            <w:pPr>
              <w:rPr>
                <w:rFonts w:ascii="Calibri" w:hAnsi="Calibri"/>
                <w:b/>
                <w:bCs/>
                <w:color w:val="FF0000"/>
                <w:sz w:val="18"/>
                <w:szCs w:val="20"/>
              </w:rPr>
            </w:pPr>
            <w:r w:rsidRPr="001F7A12">
              <w:rPr>
                <w:rFonts w:ascii="Calibri" w:hAnsi="Calibri"/>
                <w:b/>
                <w:bCs/>
                <w:color w:val="FF0000"/>
                <w:sz w:val="18"/>
                <w:szCs w:val="20"/>
              </w:rPr>
              <w:t>-1.868 ***</w:t>
            </w:r>
          </w:p>
        </w:tc>
        <w:tc>
          <w:tcPr>
            <w:tcW w:w="1077" w:type="dxa"/>
            <w:vAlign w:val="center"/>
          </w:tcPr>
          <w:p w:rsidR="001F7A12" w:rsidRPr="001F7A12" w:rsidRDefault="001F7A12">
            <w:pPr>
              <w:rPr>
                <w:rFonts w:ascii="Calibri" w:hAnsi="Calibri"/>
                <w:b/>
                <w:bCs/>
                <w:color w:val="FF0000"/>
                <w:sz w:val="18"/>
                <w:szCs w:val="20"/>
              </w:rPr>
            </w:pPr>
            <w:r w:rsidRPr="001F7A12">
              <w:rPr>
                <w:rFonts w:ascii="Calibri" w:hAnsi="Calibri"/>
                <w:b/>
                <w:bCs/>
                <w:color w:val="FF0000"/>
                <w:sz w:val="18"/>
                <w:szCs w:val="20"/>
              </w:rPr>
              <w:t>-2.254 ***</w:t>
            </w:r>
          </w:p>
        </w:tc>
        <w:tc>
          <w:tcPr>
            <w:tcW w:w="1078" w:type="dxa"/>
            <w:gridSpan w:val="2"/>
            <w:vAlign w:val="center"/>
          </w:tcPr>
          <w:p w:rsidR="001F7A12" w:rsidRPr="001F7A12" w:rsidRDefault="001F7A12">
            <w:pPr>
              <w:rPr>
                <w:rFonts w:ascii="Calibri" w:hAnsi="Calibri"/>
                <w:b/>
                <w:bCs/>
                <w:color w:val="FF0000"/>
                <w:sz w:val="18"/>
                <w:szCs w:val="20"/>
              </w:rPr>
            </w:pPr>
            <w:r w:rsidRPr="001F7A12">
              <w:rPr>
                <w:rFonts w:ascii="Calibri" w:hAnsi="Calibri"/>
                <w:b/>
                <w:bCs/>
                <w:color w:val="FF0000"/>
                <w:sz w:val="18"/>
                <w:szCs w:val="20"/>
              </w:rPr>
              <w:t>-2.780 ***</w:t>
            </w:r>
          </w:p>
        </w:tc>
      </w:tr>
      <w:tr w:rsidR="001F7A12" w:rsidRPr="00ED504D" w:rsidTr="006C43BF">
        <w:trPr>
          <w:trHeight w:val="254"/>
          <w:jc w:val="center"/>
        </w:trPr>
        <w:tc>
          <w:tcPr>
            <w:tcW w:w="1134" w:type="dxa"/>
            <w:vMerge/>
            <w:vAlign w:val="center"/>
          </w:tcPr>
          <w:p w:rsidR="001F7A12" w:rsidRPr="00ED504D" w:rsidRDefault="001F7A12" w:rsidP="006C43BF">
            <w:pPr>
              <w:rPr>
                <w:rFonts w:ascii="Calibri" w:hAnsi="Calibri"/>
                <w:color w:val="000000"/>
                <w:sz w:val="18"/>
                <w:szCs w:val="20"/>
              </w:rPr>
            </w:pPr>
          </w:p>
        </w:tc>
        <w:tc>
          <w:tcPr>
            <w:tcW w:w="236" w:type="dxa"/>
          </w:tcPr>
          <w:p w:rsidR="001F7A12" w:rsidRPr="00ED504D" w:rsidRDefault="001F7A12" w:rsidP="00E759EB">
            <w:pPr>
              <w:jc w:val="center"/>
              <w:rPr>
                <w:sz w:val="18"/>
                <w:szCs w:val="20"/>
              </w:rPr>
            </w:pPr>
          </w:p>
        </w:tc>
        <w:tc>
          <w:tcPr>
            <w:tcW w:w="1077" w:type="dxa"/>
            <w:vAlign w:val="center"/>
          </w:tcPr>
          <w:p w:rsidR="001F7A12" w:rsidRPr="001F7A12" w:rsidRDefault="001F7A12">
            <w:pPr>
              <w:jc w:val="right"/>
              <w:rPr>
                <w:rFonts w:ascii="Calibri" w:hAnsi="Calibri"/>
                <w:color w:val="000000"/>
                <w:sz w:val="18"/>
                <w:szCs w:val="18"/>
              </w:rPr>
            </w:pPr>
            <w:r w:rsidRPr="001F7A12">
              <w:rPr>
                <w:rFonts w:ascii="Calibri" w:hAnsi="Calibri"/>
                <w:color w:val="000000"/>
                <w:sz w:val="18"/>
                <w:szCs w:val="18"/>
              </w:rPr>
              <w:t>2.62%</w:t>
            </w:r>
          </w:p>
        </w:tc>
        <w:tc>
          <w:tcPr>
            <w:tcW w:w="1077" w:type="dxa"/>
            <w:vAlign w:val="center"/>
          </w:tcPr>
          <w:p w:rsidR="001F7A12" w:rsidRPr="001F7A12" w:rsidRDefault="001F7A12">
            <w:pPr>
              <w:jc w:val="right"/>
              <w:rPr>
                <w:rFonts w:ascii="Calibri" w:hAnsi="Calibri"/>
                <w:color w:val="000000"/>
                <w:sz w:val="18"/>
                <w:szCs w:val="18"/>
              </w:rPr>
            </w:pPr>
            <w:r w:rsidRPr="001F7A12">
              <w:rPr>
                <w:rFonts w:ascii="Calibri" w:hAnsi="Calibri"/>
                <w:color w:val="000000"/>
                <w:sz w:val="18"/>
                <w:szCs w:val="18"/>
              </w:rPr>
              <w:t>1.78%</w:t>
            </w:r>
          </w:p>
        </w:tc>
        <w:tc>
          <w:tcPr>
            <w:tcW w:w="1077" w:type="dxa"/>
            <w:vAlign w:val="center"/>
          </w:tcPr>
          <w:p w:rsidR="001F7A12" w:rsidRPr="001F7A12" w:rsidRDefault="001F7A12">
            <w:pPr>
              <w:jc w:val="right"/>
              <w:rPr>
                <w:rFonts w:ascii="Calibri" w:hAnsi="Calibri"/>
                <w:color w:val="000000"/>
                <w:sz w:val="18"/>
                <w:szCs w:val="18"/>
              </w:rPr>
            </w:pPr>
            <w:r w:rsidRPr="001F7A12">
              <w:rPr>
                <w:rFonts w:ascii="Calibri" w:hAnsi="Calibri"/>
                <w:color w:val="000000"/>
                <w:sz w:val="18"/>
                <w:szCs w:val="18"/>
              </w:rPr>
              <w:t>0.58%</w:t>
            </w:r>
          </w:p>
        </w:tc>
        <w:tc>
          <w:tcPr>
            <w:tcW w:w="1078" w:type="dxa"/>
            <w:vAlign w:val="center"/>
          </w:tcPr>
          <w:p w:rsidR="001F7A12" w:rsidRPr="001F7A12" w:rsidRDefault="001F7A12">
            <w:pPr>
              <w:jc w:val="right"/>
              <w:rPr>
                <w:rFonts w:ascii="Calibri" w:hAnsi="Calibri"/>
                <w:color w:val="000000"/>
                <w:sz w:val="18"/>
                <w:szCs w:val="18"/>
              </w:rPr>
            </w:pPr>
            <w:r w:rsidRPr="001F7A12">
              <w:rPr>
                <w:rFonts w:ascii="Calibri" w:hAnsi="Calibri"/>
                <w:color w:val="000000"/>
                <w:sz w:val="18"/>
                <w:szCs w:val="18"/>
              </w:rPr>
              <w:t>0.03%</w:t>
            </w:r>
          </w:p>
        </w:tc>
        <w:tc>
          <w:tcPr>
            <w:tcW w:w="236" w:type="dxa"/>
          </w:tcPr>
          <w:p w:rsidR="001F7A12" w:rsidRPr="006B31B1" w:rsidRDefault="001F7A12" w:rsidP="00E759EB">
            <w:pPr>
              <w:rPr>
                <w:rFonts w:ascii="Calibri" w:hAnsi="Calibri"/>
                <w:color w:val="000000"/>
                <w:sz w:val="18"/>
              </w:rPr>
            </w:pPr>
          </w:p>
        </w:tc>
        <w:tc>
          <w:tcPr>
            <w:tcW w:w="1077" w:type="dxa"/>
            <w:vAlign w:val="center"/>
          </w:tcPr>
          <w:p w:rsidR="001F7A12" w:rsidRPr="001F7A12" w:rsidRDefault="001F7A12">
            <w:pPr>
              <w:jc w:val="right"/>
              <w:rPr>
                <w:rFonts w:ascii="Calibri" w:hAnsi="Calibri"/>
                <w:color w:val="000000"/>
                <w:sz w:val="18"/>
                <w:szCs w:val="18"/>
              </w:rPr>
            </w:pPr>
            <w:r w:rsidRPr="001F7A12">
              <w:rPr>
                <w:rFonts w:ascii="Calibri" w:hAnsi="Calibri"/>
                <w:color w:val="000000"/>
                <w:sz w:val="18"/>
                <w:szCs w:val="18"/>
              </w:rPr>
              <w:t>31.76%</w:t>
            </w:r>
          </w:p>
        </w:tc>
        <w:tc>
          <w:tcPr>
            <w:tcW w:w="1077" w:type="dxa"/>
            <w:vAlign w:val="center"/>
          </w:tcPr>
          <w:p w:rsidR="001F7A12" w:rsidRPr="001F7A12" w:rsidRDefault="001F7A12">
            <w:pPr>
              <w:jc w:val="right"/>
              <w:rPr>
                <w:rFonts w:ascii="Calibri" w:hAnsi="Calibri"/>
                <w:color w:val="000000"/>
                <w:sz w:val="18"/>
                <w:szCs w:val="18"/>
              </w:rPr>
            </w:pPr>
            <w:r w:rsidRPr="001F7A12">
              <w:rPr>
                <w:rFonts w:ascii="Calibri" w:hAnsi="Calibri"/>
                <w:color w:val="000000"/>
                <w:sz w:val="18"/>
                <w:szCs w:val="18"/>
              </w:rPr>
              <w:t>23.21%</w:t>
            </w:r>
          </w:p>
        </w:tc>
        <w:tc>
          <w:tcPr>
            <w:tcW w:w="1077" w:type="dxa"/>
            <w:vAlign w:val="center"/>
          </w:tcPr>
          <w:p w:rsidR="001F7A12" w:rsidRPr="001F7A12" w:rsidRDefault="001F7A12">
            <w:pPr>
              <w:jc w:val="right"/>
              <w:rPr>
                <w:rFonts w:ascii="Calibri" w:hAnsi="Calibri"/>
                <w:color w:val="000000"/>
                <w:sz w:val="18"/>
                <w:szCs w:val="18"/>
              </w:rPr>
            </w:pPr>
            <w:r w:rsidRPr="001F7A12">
              <w:rPr>
                <w:rFonts w:ascii="Calibri" w:hAnsi="Calibri"/>
                <w:color w:val="000000"/>
                <w:sz w:val="18"/>
                <w:szCs w:val="18"/>
              </w:rPr>
              <w:t>13.57%</w:t>
            </w:r>
          </w:p>
        </w:tc>
        <w:tc>
          <w:tcPr>
            <w:tcW w:w="1078" w:type="dxa"/>
            <w:vAlign w:val="center"/>
          </w:tcPr>
          <w:p w:rsidR="001F7A12" w:rsidRPr="001F7A12" w:rsidRDefault="001F7A12">
            <w:pPr>
              <w:jc w:val="right"/>
              <w:rPr>
                <w:rFonts w:ascii="Calibri" w:hAnsi="Calibri"/>
                <w:color w:val="000000"/>
                <w:sz w:val="18"/>
                <w:szCs w:val="18"/>
              </w:rPr>
            </w:pPr>
            <w:r w:rsidRPr="001F7A12">
              <w:rPr>
                <w:rFonts w:ascii="Calibri" w:hAnsi="Calibri"/>
                <w:color w:val="000000"/>
                <w:sz w:val="18"/>
                <w:szCs w:val="18"/>
              </w:rPr>
              <w:t>16.55%</w:t>
            </w:r>
          </w:p>
        </w:tc>
        <w:tc>
          <w:tcPr>
            <w:tcW w:w="236" w:type="dxa"/>
          </w:tcPr>
          <w:p w:rsidR="001F7A12" w:rsidRPr="006B31B1" w:rsidRDefault="001F7A12" w:rsidP="00E759EB">
            <w:pPr>
              <w:rPr>
                <w:rFonts w:ascii="Calibri" w:hAnsi="Calibri"/>
                <w:color w:val="000000"/>
                <w:sz w:val="18"/>
              </w:rPr>
            </w:pPr>
          </w:p>
        </w:tc>
        <w:tc>
          <w:tcPr>
            <w:tcW w:w="1077" w:type="dxa"/>
            <w:vAlign w:val="center"/>
          </w:tcPr>
          <w:p w:rsidR="001F7A12" w:rsidRPr="001F7A12" w:rsidRDefault="001F7A12">
            <w:pPr>
              <w:jc w:val="right"/>
              <w:rPr>
                <w:rFonts w:ascii="Calibri" w:hAnsi="Calibri"/>
                <w:color w:val="000000"/>
                <w:sz w:val="18"/>
                <w:szCs w:val="18"/>
              </w:rPr>
            </w:pPr>
            <w:r w:rsidRPr="001F7A12">
              <w:rPr>
                <w:rFonts w:ascii="Calibri" w:hAnsi="Calibri"/>
                <w:color w:val="000000"/>
                <w:sz w:val="18"/>
                <w:szCs w:val="18"/>
              </w:rPr>
              <w:t>21.23%</w:t>
            </w:r>
          </w:p>
        </w:tc>
        <w:tc>
          <w:tcPr>
            <w:tcW w:w="1077" w:type="dxa"/>
            <w:vAlign w:val="center"/>
          </w:tcPr>
          <w:p w:rsidR="001F7A12" w:rsidRPr="001F7A12" w:rsidRDefault="001F7A12">
            <w:pPr>
              <w:jc w:val="right"/>
              <w:rPr>
                <w:rFonts w:ascii="Calibri" w:hAnsi="Calibri"/>
                <w:color w:val="000000"/>
                <w:sz w:val="18"/>
                <w:szCs w:val="18"/>
              </w:rPr>
            </w:pPr>
            <w:r w:rsidRPr="001F7A12">
              <w:rPr>
                <w:rFonts w:ascii="Calibri" w:hAnsi="Calibri"/>
                <w:color w:val="000000"/>
                <w:sz w:val="18"/>
                <w:szCs w:val="18"/>
              </w:rPr>
              <w:t>16.99%</w:t>
            </w:r>
          </w:p>
        </w:tc>
        <w:tc>
          <w:tcPr>
            <w:tcW w:w="1077" w:type="dxa"/>
            <w:vAlign w:val="center"/>
          </w:tcPr>
          <w:p w:rsidR="001F7A12" w:rsidRPr="001F7A12" w:rsidRDefault="001F7A12">
            <w:pPr>
              <w:jc w:val="right"/>
              <w:rPr>
                <w:rFonts w:ascii="Calibri" w:hAnsi="Calibri"/>
                <w:color w:val="000000"/>
                <w:sz w:val="18"/>
                <w:szCs w:val="18"/>
              </w:rPr>
            </w:pPr>
            <w:r w:rsidRPr="001F7A12">
              <w:rPr>
                <w:rFonts w:ascii="Calibri" w:hAnsi="Calibri"/>
                <w:color w:val="000000"/>
                <w:sz w:val="18"/>
                <w:szCs w:val="18"/>
              </w:rPr>
              <w:t>15.39%</w:t>
            </w:r>
          </w:p>
        </w:tc>
        <w:tc>
          <w:tcPr>
            <w:tcW w:w="1078" w:type="dxa"/>
            <w:gridSpan w:val="2"/>
            <w:vAlign w:val="center"/>
          </w:tcPr>
          <w:p w:rsidR="001F7A12" w:rsidRPr="001F7A12" w:rsidRDefault="001F7A12">
            <w:pPr>
              <w:jc w:val="right"/>
              <w:rPr>
                <w:rFonts w:ascii="Calibri" w:hAnsi="Calibri"/>
                <w:color w:val="000000"/>
                <w:sz w:val="18"/>
                <w:szCs w:val="18"/>
              </w:rPr>
            </w:pPr>
            <w:r w:rsidRPr="001F7A12">
              <w:rPr>
                <w:rFonts w:ascii="Calibri" w:hAnsi="Calibri"/>
                <w:color w:val="000000"/>
                <w:sz w:val="18"/>
                <w:szCs w:val="18"/>
              </w:rPr>
              <w:t>17.60%</w:t>
            </w:r>
          </w:p>
        </w:tc>
      </w:tr>
      <w:tr w:rsidR="001F7A12" w:rsidRPr="00ED504D" w:rsidTr="006C43BF">
        <w:trPr>
          <w:trHeight w:val="254"/>
          <w:jc w:val="center"/>
        </w:trPr>
        <w:tc>
          <w:tcPr>
            <w:tcW w:w="1134" w:type="dxa"/>
            <w:vMerge w:val="restart"/>
            <w:vAlign w:val="center"/>
          </w:tcPr>
          <w:p w:rsidR="001F7A12" w:rsidRPr="00ED504D" w:rsidRDefault="001F7A12" w:rsidP="006C43BF">
            <w:pPr>
              <w:rPr>
                <w:rFonts w:ascii="Calibri" w:hAnsi="Calibri"/>
                <w:color w:val="000000"/>
                <w:sz w:val="18"/>
                <w:szCs w:val="20"/>
              </w:rPr>
            </w:pPr>
            <w:r w:rsidRPr="00ED504D">
              <w:rPr>
                <w:rFonts w:ascii="Calibri" w:hAnsi="Calibri"/>
                <w:color w:val="000000"/>
                <w:sz w:val="18"/>
                <w:szCs w:val="20"/>
              </w:rPr>
              <w:t>Finland</w:t>
            </w:r>
          </w:p>
        </w:tc>
        <w:tc>
          <w:tcPr>
            <w:tcW w:w="236" w:type="dxa"/>
          </w:tcPr>
          <w:p w:rsidR="001F7A12" w:rsidRPr="00ED504D" w:rsidRDefault="001F7A12" w:rsidP="00E759EB">
            <w:pPr>
              <w:jc w:val="center"/>
              <w:rPr>
                <w:sz w:val="18"/>
                <w:szCs w:val="20"/>
              </w:rPr>
            </w:pPr>
          </w:p>
        </w:tc>
        <w:tc>
          <w:tcPr>
            <w:tcW w:w="1077" w:type="dxa"/>
            <w:vAlign w:val="center"/>
          </w:tcPr>
          <w:p w:rsidR="001F7A12" w:rsidRPr="001F7A12" w:rsidRDefault="001F7A12">
            <w:pPr>
              <w:rPr>
                <w:rFonts w:ascii="Calibri" w:hAnsi="Calibri"/>
                <w:b/>
                <w:bCs/>
                <w:color w:val="FF0000"/>
                <w:sz w:val="18"/>
                <w:szCs w:val="20"/>
              </w:rPr>
            </w:pPr>
            <w:r w:rsidRPr="001F7A12">
              <w:rPr>
                <w:rFonts w:ascii="Calibri" w:hAnsi="Calibri"/>
                <w:b/>
                <w:bCs/>
                <w:color w:val="FF0000"/>
                <w:sz w:val="18"/>
                <w:szCs w:val="20"/>
              </w:rPr>
              <w:t>-0.829 ***</w:t>
            </w:r>
          </w:p>
        </w:tc>
        <w:tc>
          <w:tcPr>
            <w:tcW w:w="1077" w:type="dxa"/>
            <w:vAlign w:val="center"/>
          </w:tcPr>
          <w:p w:rsidR="001F7A12" w:rsidRPr="001F7A12" w:rsidRDefault="001F7A12">
            <w:pPr>
              <w:rPr>
                <w:rFonts w:ascii="Calibri" w:hAnsi="Calibri"/>
                <w:b/>
                <w:bCs/>
                <w:color w:val="FF0000"/>
                <w:sz w:val="18"/>
                <w:szCs w:val="20"/>
              </w:rPr>
            </w:pPr>
            <w:r w:rsidRPr="001F7A12">
              <w:rPr>
                <w:rFonts w:ascii="Calibri" w:hAnsi="Calibri"/>
                <w:b/>
                <w:bCs/>
                <w:color w:val="FF0000"/>
                <w:sz w:val="18"/>
                <w:szCs w:val="20"/>
              </w:rPr>
              <w:t>-0.642 ***</w:t>
            </w:r>
          </w:p>
        </w:tc>
        <w:tc>
          <w:tcPr>
            <w:tcW w:w="1077" w:type="dxa"/>
            <w:vAlign w:val="center"/>
          </w:tcPr>
          <w:p w:rsidR="001F7A12" w:rsidRPr="001F7A12" w:rsidRDefault="001F7A12">
            <w:pPr>
              <w:rPr>
                <w:rFonts w:ascii="Calibri" w:hAnsi="Calibri"/>
                <w:color w:val="000000"/>
                <w:sz w:val="18"/>
                <w:szCs w:val="20"/>
              </w:rPr>
            </w:pPr>
            <w:r w:rsidRPr="001F7A12">
              <w:rPr>
                <w:rFonts w:ascii="Calibri" w:hAnsi="Calibri"/>
                <w:color w:val="000000"/>
                <w:sz w:val="18"/>
                <w:szCs w:val="20"/>
              </w:rPr>
              <w:t>0.623</w:t>
            </w:r>
          </w:p>
        </w:tc>
        <w:tc>
          <w:tcPr>
            <w:tcW w:w="1078" w:type="dxa"/>
            <w:vAlign w:val="center"/>
          </w:tcPr>
          <w:p w:rsidR="001F7A12" w:rsidRPr="001F7A12" w:rsidRDefault="001F7A12">
            <w:pPr>
              <w:rPr>
                <w:rFonts w:ascii="Calibri" w:hAnsi="Calibri"/>
                <w:color w:val="000000"/>
                <w:sz w:val="18"/>
                <w:szCs w:val="20"/>
              </w:rPr>
            </w:pPr>
            <w:r w:rsidRPr="001F7A12">
              <w:rPr>
                <w:rFonts w:ascii="Calibri" w:hAnsi="Calibri"/>
                <w:color w:val="000000"/>
                <w:sz w:val="18"/>
                <w:szCs w:val="20"/>
              </w:rPr>
              <w:t>-0.027</w:t>
            </w:r>
          </w:p>
        </w:tc>
        <w:tc>
          <w:tcPr>
            <w:tcW w:w="236" w:type="dxa"/>
          </w:tcPr>
          <w:p w:rsidR="001F7A12" w:rsidRPr="00ED504D" w:rsidRDefault="001F7A12" w:rsidP="00E759EB">
            <w:pPr>
              <w:rPr>
                <w:rFonts w:ascii="Calibri" w:hAnsi="Calibri"/>
                <w:color w:val="000000"/>
                <w:sz w:val="18"/>
              </w:rPr>
            </w:pPr>
          </w:p>
        </w:tc>
        <w:tc>
          <w:tcPr>
            <w:tcW w:w="1077" w:type="dxa"/>
            <w:vAlign w:val="center"/>
          </w:tcPr>
          <w:p w:rsidR="001F7A12" w:rsidRPr="001F7A12" w:rsidRDefault="001F7A12">
            <w:pPr>
              <w:rPr>
                <w:rFonts w:ascii="Calibri" w:hAnsi="Calibri"/>
                <w:b/>
                <w:bCs/>
                <w:color w:val="FF0000"/>
                <w:sz w:val="18"/>
                <w:szCs w:val="20"/>
              </w:rPr>
            </w:pPr>
            <w:r w:rsidRPr="001F7A12">
              <w:rPr>
                <w:rFonts w:ascii="Calibri" w:hAnsi="Calibri"/>
                <w:b/>
                <w:bCs/>
                <w:color w:val="FF0000"/>
                <w:sz w:val="18"/>
                <w:szCs w:val="20"/>
              </w:rPr>
              <w:t>-2.009 ***</w:t>
            </w:r>
          </w:p>
        </w:tc>
        <w:tc>
          <w:tcPr>
            <w:tcW w:w="1077" w:type="dxa"/>
            <w:vAlign w:val="center"/>
          </w:tcPr>
          <w:p w:rsidR="001F7A12" w:rsidRPr="001F7A12" w:rsidRDefault="001F7A12">
            <w:pPr>
              <w:rPr>
                <w:rFonts w:ascii="Calibri" w:hAnsi="Calibri"/>
                <w:b/>
                <w:bCs/>
                <w:color w:val="FF0000"/>
                <w:sz w:val="18"/>
                <w:szCs w:val="20"/>
              </w:rPr>
            </w:pPr>
            <w:r w:rsidRPr="001F7A12">
              <w:rPr>
                <w:rFonts w:ascii="Calibri" w:hAnsi="Calibri"/>
                <w:b/>
                <w:bCs/>
                <w:color w:val="FF0000"/>
                <w:sz w:val="18"/>
                <w:szCs w:val="20"/>
              </w:rPr>
              <w:t>-1.523 ***</w:t>
            </w:r>
          </w:p>
        </w:tc>
        <w:tc>
          <w:tcPr>
            <w:tcW w:w="1077" w:type="dxa"/>
            <w:vAlign w:val="center"/>
          </w:tcPr>
          <w:p w:rsidR="001F7A12" w:rsidRPr="001F7A12" w:rsidRDefault="001F7A12">
            <w:pPr>
              <w:rPr>
                <w:rFonts w:ascii="Calibri" w:hAnsi="Calibri"/>
                <w:b/>
                <w:bCs/>
                <w:color w:val="FF0000"/>
                <w:sz w:val="18"/>
                <w:szCs w:val="20"/>
              </w:rPr>
            </w:pPr>
            <w:r w:rsidRPr="001F7A12">
              <w:rPr>
                <w:rFonts w:ascii="Calibri" w:hAnsi="Calibri"/>
                <w:b/>
                <w:bCs/>
                <w:color w:val="FF0000"/>
                <w:sz w:val="18"/>
                <w:szCs w:val="20"/>
              </w:rPr>
              <w:t>-1.520 ***</w:t>
            </w:r>
          </w:p>
        </w:tc>
        <w:tc>
          <w:tcPr>
            <w:tcW w:w="1078" w:type="dxa"/>
            <w:vAlign w:val="center"/>
          </w:tcPr>
          <w:p w:rsidR="001F7A12" w:rsidRPr="001F7A12" w:rsidRDefault="001F7A12">
            <w:pPr>
              <w:rPr>
                <w:rFonts w:ascii="Calibri" w:hAnsi="Calibri"/>
                <w:b/>
                <w:bCs/>
                <w:color w:val="FF0000"/>
                <w:sz w:val="18"/>
                <w:szCs w:val="20"/>
              </w:rPr>
            </w:pPr>
            <w:r w:rsidRPr="001F7A12">
              <w:rPr>
                <w:rFonts w:ascii="Calibri" w:hAnsi="Calibri"/>
                <w:b/>
                <w:bCs/>
                <w:color w:val="FF0000"/>
                <w:sz w:val="18"/>
                <w:szCs w:val="20"/>
              </w:rPr>
              <w:t>-2.500 ***</w:t>
            </w:r>
          </w:p>
        </w:tc>
        <w:tc>
          <w:tcPr>
            <w:tcW w:w="236" w:type="dxa"/>
          </w:tcPr>
          <w:p w:rsidR="001F7A12" w:rsidRPr="006B31B1" w:rsidRDefault="001F7A12" w:rsidP="00E759EB">
            <w:pPr>
              <w:rPr>
                <w:rFonts w:ascii="Calibri" w:hAnsi="Calibri"/>
                <w:b/>
                <w:color w:val="FF0000"/>
                <w:sz w:val="18"/>
              </w:rPr>
            </w:pPr>
          </w:p>
        </w:tc>
        <w:tc>
          <w:tcPr>
            <w:tcW w:w="1077" w:type="dxa"/>
            <w:vAlign w:val="center"/>
          </w:tcPr>
          <w:p w:rsidR="001F7A12" w:rsidRPr="001F7A12" w:rsidRDefault="001F7A12">
            <w:pPr>
              <w:rPr>
                <w:rFonts w:ascii="Calibri" w:hAnsi="Calibri"/>
                <w:b/>
                <w:bCs/>
                <w:color w:val="FF0000"/>
                <w:sz w:val="18"/>
                <w:szCs w:val="20"/>
              </w:rPr>
            </w:pPr>
            <w:r w:rsidRPr="001F7A12">
              <w:rPr>
                <w:rFonts w:ascii="Calibri" w:hAnsi="Calibri"/>
                <w:b/>
                <w:bCs/>
                <w:color w:val="FF0000"/>
                <w:sz w:val="18"/>
                <w:szCs w:val="20"/>
              </w:rPr>
              <w:t>-1.659 ***</w:t>
            </w:r>
          </w:p>
        </w:tc>
        <w:tc>
          <w:tcPr>
            <w:tcW w:w="1077" w:type="dxa"/>
            <w:vAlign w:val="center"/>
          </w:tcPr>
          <w:p w:rsidR="001F7A12" w:rsidRPr="001F7A12" w:rsidRDefault="001F7A12">
            <w:pPr>
              <w:rPr>
                <w:rFonts w:ascii="Calibri" w:hAnsi="Calibri"/>
                <w:b/>
                <w:bCs/>
                <w:color w:val="FF0000"/>
                <w:sz w:val="18"/>
                <w:szCs w:val="20"/>
              </w:rPr>
            </w:pPr>
            <w:r w:rsidRPr="001F7A12">
              <w:rPr>
                <w:rFonts w:ascii="Calibri" w:hAnsi="Calibri"/>
                <w:b/>
                <w:bCs/>
                <w:color w:val="FF0000"/>
                <w:sz w:val="18"/>
                <w:szCs w:val="20"/>
              </w:rPr>
              <w:t>-1.345 ***</w:t>
            </w:r>
          </w:p>
        </w:tc>
        <w:tc>
          <w:tcPr>
            <w:tcW w:w="1077" w:type="dxa"/>
            <w:vAlign w:val="center"/>
          </w:tcPr>
          <w:p w:rsidR="001F7A12" w:rsidRPr="001F7A12" w:rsidRDefault="001F7A12">
            <w:pPr>
              <w:rPr>
                <w:rFonts w:ascii="Calibri" w:hAnsi="Calibri"/>
                <w:b/>
                <w:bCs/>
                <w:color w:val="FF0000"/>
                <w:sz w:val="18"/>
                <w:szCs w:val="20"/>
              </w:rPr>
            </w:pPr>
            <w:r w:rsidRPr="001F7A12">
              <w:rPr>
                <w:rFonts w:ascii="Calibri" w:hAnsi="Calibri"/>
                <w:b/>
                <w:bCs/>
                <w:color w:val="FF0000"/>
                <w:sz w:val="18"/>
                <w:szCs w:val="20"/>
              </w:rPr>
              <w:t>-1.614 ***</w:t>
            </w:r>
          </w:p>
        </w:tc>
        <w:tc>
          <w:tcPr>
            <w:tcW w:w="1078" w:type="dxa"/>
            <w:gridSpan w:val="2"/>
            <w:vAlign w:val="center"/>
          </w:tcPr>
          <w:p w:rsidR="001F7A12" w:rsidRPr="001F7A12" w:rsidRDefault="001F7A12">
            <w:pPr>
              <w:rPr>
                <w:rFonts w:ascii="Calibri" w:hAnsi="Calibri"/>
                <w:b/>
                <w:bCs/>
                <w:color w:val="FF0000"/>
                <w:sz w:val="18"/>
                <w:szCs w:val="20"/>
              </w:rPr>
            </w:pPr>
            <w:r w:rsidRPr="001F7A12">
              <w:rPr>
                <w:rFonts w:ascii="Calibri" w:hAnsi="Calibri"/>
                <w:b/>
                <w:bCs/>
                <w:color w:val="FF0000"/>
                <w:sz w:val="18"/>
                <w:szCs w:val="20"/>
              </w:rPr>
              <w:t>-2.540 ***</w:t>
            </w:r>
          </w:p>
        </w:tc>
      </w:tr>
      <w:tr w:rsidR="001F7A12" w:rsidRPr="00ED504D" w:rsidTr="006C43BF">
        <w:trPr>
          <w:trHeight w:val="254"/>
          <w:jc w:val="center"/>
        </w:trPr>
        <w:tc>
          <w:tcPr>
            <w:tcW w:w="1134" w:type="dxa"/>
            <w:vMerge/>
            <w:vAlign w:val="center"/>
          </w:tcPr>
          <w:p w:rsidR="001F7A12" w:rsidRPr="00ED504D" w:rsidRDefault="001F7A12" w:rsidP="006C43BF">
            <w:pPr>
              <w:rPr>
                <w:rFonts w:ascii="Calibri" w:hAnsi="Calibri"/>
                <w:color w:val="000000"/>
                <w:sz w:val="18"/>
                <w:szCs w:val="20"/>
              </w:rPr>
            </w:pPr>
          </w:p>
        </w:tc>
        <w:tc>
          <w:tcPr>
            <w:tcW w:w="236" w:type="dxa"/>
          </w:tcPr>
          <w:p w:rsidR="001F7A12" w:rsidRPr="00ED504D" w:rsidRDefault="001F7A12" w:rsidP="00E759EB">
            <w:pPr>
              <w:jc w:val="center"/>
              <w:rPr>
                <w:sz w:val="18"/>
                <w:szCs w:val="20"/>
              </w:rPr>
            </w:pPr>
          </w:p>
        </w:tc>
        <w:tc>
          <w:tcPr>
            <w:tcW w:w="1077" w:type="dxa"/>
            <w:vAlign w:val="center"/>
          </w:tcPr>
          <w:p w:rsidR="001F7A12" w:rsidRPr="001F7A12" w:rsidRDefault="001F7A12">
            <w:pPr>
              <w:jc w:val="right"/>
              <w:rPr>
                <w:rFonts w:ascii="Calibri" w:hAnsi="Calibri"/>
                <w:color w:val="000000"/>
                <w:sz w:val="18"/>
                <w:szCs w:val="18"/>
              </w:rPr>
            </w:pPr>
            <w:r w:rsidRPr="001F7A12">
              <w:rPr>
                <w:rFonts w:ascii="Calibri" w:hAnsi="Calibri"/>
                <w:color w:val="000000"/>
                <w:sz w:val="18"/>
                <w:szCs w:val="18"/>
              </w:rPr>
              <w:t>2.97%</w:t>
            </w:r>
          </w:p>
        </w:tc>
        <w:tc>
          <w:tcPr>
            <w:tcW w:w="1077" w:type="dxa"/>
            <w:vAlign w:val="center"/>
          </w:tcPr>
          <w:p w:rsidR="001F7A12" w:rsidRPr="001F7A12" w:rsidRDefault="001F7A12">
            <w:pPr>
              <w:jc w:val="right"/>
              <w:rPr>
                <w:rFonts w:ascii="Calibri" w:hAnsi="Calibri"/>
                <w:color w:val="000000"/>
                <w:sz w:val="18"/>
                <w:szCs w:val="18"/>
              </w:rPr>
            </w:pPr>
            <w:r w:rsidRPr="001F7A12">
              <w:rPr>
                <w:rFonts w:ascii="Calibri" w:hAnsi="Calibri"/>
                <w:color w:val="000000"/>
                <w:sz w:val="18"/>
                <w:szCs w:val="18"/>
              </w:rPr>
              <w:t>2.52%</w:t>
            </w:r>
          </w:p>
        </w:tc>
        <w:tc>
          <w:tcPr>
            <w:tcW w:w="1077" w:type="dxa"/>
            <w:vAlign w:val="center"/>
          </w:tcPr>
          <w:p w:rsidR="001F7A12" w:rsidRPr="001F7A12" w:rsidRDefault="001F7A12">
            <w:pPr>
              <w:jc w:val="right"/>
              <w:rPr>
                <w:rFonts w:ascii="Calibri" w:hAnsi="Calibri"/>
                <w:color w:val="000000"/>
                <w:sz w:val="18"/>
                <w:szCs w:val="18"/>
              </w:rPr>
            </w:pPr>
            <w:r w:rsidRPr="001F7A12">
              <w:rPr>
                <w:rFonts w:ascii="Calibri" w:hAnsi="Calibri"/>
                <w:color w:val="000000"/>
                <w:sz w:val="18"/>
                <w:szCs w:val="18"/>
              </w:rPr>
              <w:t>0.43%</w:t>
            </w:r>
          </w:p>
        </w:tc>
        <w:tc>
          <w:tcPr>
            <w:tcW w:w="1078" w:type="dxa"/>
            <w:vAlign w:val="center"/>
          </w:tcPr>
          <w:p w:rsidR="001F7A12" w:rsidRPr="001F7A12" w:rsidRDefault="001F7A12">
            <w:pPr>
              <w:jc w:val="right"/>
              <w:rPr>
                <w:rFonts w:ascii="Calibri" w:hAnsi="Calibri"/>
                <w:color w:val="000000"/>
                <w:sz w:val="18"/>
                <w:szCs w:val="18"/>
              </w:rPr>
            </w:pPr>
            <w:r w:rsidRPr="001F7A12">
              <w:rPr>
                <w:rFonts w:ascii="Calibri" w:hAnsi="Calibri"/>
                <w:color w:val="000000"/>
                <w:sz w:val="18"/>
                <w:szCs w:val="18"/>
              </w:rPr>
              <w:t>-0.02%</w:t>
            </w:r>
          </w:p>
        </w:tc>
        <w:tc>
          <w:tcPr>
            <w:tcW w:w="236" w:type="dxa"/>
          </w:tcPr>
          <w:p w:rsidR="001F7A12" w:rsidRPr="006B31B1" w:rsidRDefault="001F7A12" w:rsidP="00E759EB">
            <w:pPr>
              <w:rPr>
                <w:rFonts w:ascii="Calibri" w:hAnsi="Calibri"/>
                <w:color w:val="000000"/>
                <w:sz w:val="18"/>
              </w:rPr>
            </w:pPr>
          </w:p>
        </w:tc>
        <w:tc>
          <w:tcPr>
            <w:tcW w:w="1077" w:type="dxa"/>
            <w:vAlign w:val="center"/>
          </w:tcPr>
          <w:p w:rsidR="001F7A12" w:rsidRPr="001F7A12" w:rsidRDefault="001F7A12">
            <w:pPr>
              <w:jc w:val="right"/>
              <w:rPr>
                <w:rFonts w:ascii="Calibri" w:hAnsi="Calibri"/>
                <w:color w:val="000000"/>
                <w:sz w:val="18"/>
                <w:szCs w:val="18"/>
              </w:rPr>
            </w:pPr>
            <w:r w:rsidRPr="001F7A12">
              <w:rPr>
                <w:rFonts w:ascii="Calibri" w:hAnsi="Calibri"/>
                <w:color w:val="000000"/>
                <w:sz w:val="18"/>
                <w:szCs w:val="18"/>
              </w:rPr>
              <w:t>34.10%</w:t>
            </w:r>
          </w:p>
        </w:tc>
        <w:tc>
          <w:tcPr>
            <w:tcW w:w="1077" w:type="dxa"/>
            <w:vAlign w:val="center"/>
          </w:tcPr>
          <w:p w:rsidR="001F7A12" w:rsidRPr="001F7A12" w:rsidRDefault="001F7A12">
            <w:pPr>
              <w:jc w:val="right"/>
              <w:rPr>
                <w:rFonts w:ascii="Calibri" w:hAnsi="Calibri"/>
                <w:color w:val="000000"/>
                <w:sz w:val="18"/>
                <w:szCs w:val="18"/>
              </w:rPr>
            </w:pPr>
            <w:r w:rsidRPr="001F7A12">
              <w:rPr>
                <w:rFonts w:ascii="Calibri" w:hAnsi="Calibri"/>
                <w:color w:val="000000"/>
                <w:sz w:val="18"/>
                <w:szCs w:val="18"/>
              </w:rPr>
              <w:t>24.90%</w:t>
            </w:r>
          </w:p>
        </w:tc>
        <w:tc>
          <w:tcPr>
            <w:tcW w:w="1077" w:type="dxa"/>
            <w:vAlign w:val="center"/>
          </w:tcPr>
          <w:p w:rsidR="001F7A12" w:rsidRPr="001F7A12" w:rsidRDefault="001F7A12">
            <w:pPr>
              <w:jc w:val="right"/>
              <w:rPr>
                <w:rFonts w:ascii="Calibri" w:hAnsi="Calibri"/>
                <w:color w:val="000000"/>
                <w:sz w:val="18"/>
                <w:szCs w:val="18"/>
              </w:rPr>
            </w:pPr>
            <w:r w:rsidRPr="001F7A12">
              <w:rPr>
                <w:rFonts w:ascii="Calibri" w:hAnsi="Calibri"/>
                <w:color w:val="000000"/>
                <w:sz w:val="18"/>
                <w:szCs w:val="18"/>
              </w:rPr>
              <w:t>14.37%</w:t>
            </w:r>
          </w:p>
        </w:tc>
        <w:tc>
          <w:tcPr>
            <w:tcW w:w="1078" w:type="dxa"/>
            <w:vAlign w:val="center"/>
          </w:tcPr>
          <w:p w:rsidR="001F7A12" w:rsidRPr="001F7A12" w:rsidRDefault="001F7A12">
            <w:pPr>
              <w:jc w:val="right"/>
              <w:rPr>
                <w:rFonts w:ascii="Calibri" w:hAnsi="Calibri"/>
                <w:color w:val="000000"/>
                <w:sz w:val="18"/>
                <w:szCs w:val="18"/>
              </w:rPr>
            </w:pPr>
            <w:r w:rsidRPr="001F7A12">
              <w:rPr>
                <w:rFonts w:ascii="Calibri" w:hAnsi="Calibri"/>
                <w:color w:val="000000"/>
                <w:sz w:val="18"/>
                <w:szCs w:val="18"/>
              </w:rPr>
              <w:t>18.13%</w:t>
            </w:r>
          </w:p>
        </w:tc>
        <w:tc>
          <w:tcPr>
            <w:tcW w:w="236" w:type="dxa"/>
          </w:tcPr>
          <w:p w:rsidR="001F7A12" w:rsidRPr="006B31B1" w:rsidRDefault="001F7A12" w:rsidP="00E759EB">
            <w:pPr>
              <w:rPr>
                <w:rFonts w:ascii="Calibri" w:hAnsi="Calibri"/>
                <w:color w:val="000000"/>
                <w:sz w:val="18"/>
              </w:rPr>
            </w:pPr>
          </w:p>
        </w:tc>
        <w:tc>
          <w:tcPr>
            <w:tcW w:w="1077" w:type="dxa"/>
            <w:vAlign w:val="center"/>
          </w:tcPr>
          <w:p w:rsidR="001F7A12" w:rsidRPr="001F7A12" w:rsidRDefault="001F7A12">
            <w:pPr>
              <w:jc w:val="right"/>
              <w:rPr>
                <w:rFonts w:ascii="Calibri" w:hAnsi="Calibri"/>
                <w:color w:val="000000"/>
                <w:sz w:val="18"/>
                <w:szCs w:val="18"/>
              </w:rPr>
            </w:pPr>
            <w:r w:rsidRPr="001F7A12">
              <w:rPr>
                <w:rFonts w:ascii="Calibri" w:hAnsi="Calibri"/>
                <w:color w:val="000000"/>
                <w:sz w:val="18"/>
                <w:szCs w:val="18"/>
              </w:rPr>
              <w:t>22.30%</w:t>
            </w:r>
          </w:p>
        </w:tc>
        <w:tc>
          <w:tcPr>
            <w:tcW w:w="1077" w:type="dxa"/>
            <w:vAlign w:val="center"/>
          </w:tcPr>
          <w:p w:rsidR="001F7A12" w:rsidRPr="001F7A12" w:rsidRDefault="001F7A12">
            <w:pPr>
              <w:jc w:val="right"/>
              <w:rPr>
                <w:rFonts w:ascii="Calibri" w:hAnsi="Calibri"/>
                <w:color w:val="000000"/>
                <w:sz w:val="18"/>
                <w:szCs w:val="18"/>
              </w:rPr>
            </w:pPr>
            <w:r w:rsidRPr="001F7A12">
              <w:rPr>
                <w:rFonts w:ascii="Calibri" w:hAnsi="Calibri"/>
                <w:color w:val="000000"/>
                <w:sz w:val="18"/>
                <w:szCs w:val="18"/>
              </w:rPr>
              <w:t>16.99%</w:t>
            </w:r>
          </w:p>
        </w:tc>
        <w:tc>
          <w:tcPr>
            <w:tcW w:w="1077" w:type="dxa"/>
            <w:vAlign w:val="center"/>
          </w:tcPr>
          <w:p w:rsidR="001F7A12" w:rsidRPr="001F7A12" w:rsidRDefault="001F7A12">
            <w:pPr>
              <w:jc w:val="right"/>
              <w:rPr>
                <w:rFonts w:ascii="Calibri" w:hAnsi="Calibri"/>
                <w:color w:val="000000"/>
                <w:sz w:val="18"/>
                <w:szCs w:val="18"/>
              </w:rPr>
            </w:pPr>
            <w:r w:rsidRPr="001F7A12">
              <w:rPr>
                <w:rFonts w:ascii="Calibri" w:hAnsi="Calibri"/>
                <w:color w:val="000000"/>
                <w:sz w:val="18"/>
                <w:szCs w:val="18"/>
              </w:rPr>
              <w:t>16.24%</w:t>
            </w:r>
          </w:p>
        </w:tc>
        <w:tc>
          <w:tcPr>
            <w:tcW w:w="1078" w:type="dxa"/>
            <w:gridSpan w:val="2"/>
            <w:vAlign w:val="center"/>
          </w:tcPr>
          <w:p w:rsidR="001F7A12" w:rsidRPr="001F7A12" w:rsidRDefault="001F7A12">
            <w:pPr>
              <w:jc w:val="right"/>
              <w:rPr>
                <w:rFonts w:ascii="Calibri" w:hAnsi="Calibri"/>
                <w:color w:val="000000"/>
                <w:sz w:val="18"/>
                <w:szCs w:val="18"/>
              </w:rPr>
            </w:pPr>
            <w:r w:rsidRPr="001F7A12">
              <w:rPr>
                <w:rFonts w:ascii="Calibri" w:hAnsi="Calibri"/>
                <w:color w:val="000000"/>
                <w:sz w:val="18"/>
                <w:szCs w:val="18"/>
              </w:rPr>
              <w:t>18.56%</w:t>
            </w:r>
          </w:p>
        </w:tc>
      </w:tr>
      <w:tr w:rsidR="001F7A12" w:rsidRPr="00ED504D" w:rsidTr="006C43BF">
        <w:trPr>
          <w:trHeight w:val="254"/>
          <w:jc w:val="center"/>
        </w:trPr>
        <w:tc>
          <w:tcPr>
            <w:tcW w:w="1134" w:type="dxa"/>
            <w:vMerge w:val="restart"/>
            <w:vAlign w:val="center"/>
          </w:tcPr>
          <w:p w:rsidR="001F7A12" w:rsidRPr="00ED504D" w:rsidRDefault="001F7A12" w:rsidP="006C43BF">
            <w:pPr>
              <w:rPr>
                <w:rFonts w:ascii="Calibri" w:hAnsi="Calibri"/>
                <w:color w:val="000000"/>
                <w:sz w:val="18"/>
                <w:szCs w:val="20"/>
              </w:rPr>
            </w:pPr>
            <w:r w:rsidRPr="00ED504D">
              <w:rPr>
                <w:rFonts w:ascii="Calibri" w:hAnsi="Calibri"/>
                <w:color w:val="000000"/>
                <w:sz w:val="18"/>
                <w:szCs w:val="20"/>
              </w:rPr>
              <w:t>France</w:t>
            </w:r>
          </w:p>
        </w:tc>
        <w:tc>
          <w:tcPr>
            <w:tcW w:w="236" w:type="dxa"/>
          </w:tcPr>
          <w:p w:rsidR="001F7A12" w:rsidRPr="00ED504D" w:rsidRDefault="001F7A12" w:rsidP="00E759EB">
            <w:pPr>
              <w:jc w:val="center"/>
              <w:rPr>
                <w:sz w:val="18"/>
                <w:szCs w:val="20"/>
              </w:rPr>
            </w:pPr>
          </w:p>
        </w:tc>
        <w:tc>
          <w:tcPr>
            <w:tcW w:w="1077" w:type="dxa"/>
            <w:vAlign w:val="center"/>
          </w:tcPr>
          <w:p w:rsidR="001F7A12" w:rsidRPr="001F7A12" w:rsidRDefault="001F7A12">
            <w:pPr>
              <w:rPr>
                <w:rFonts w:ascii="Calibri" w:hAnsi="Calibri"/>
                <w:b/>
                <w:bCs/>
                <w:color w:val="FF0000"/>
                <w:sz w:val="18"/>
                <w:szCs w:val="20"/>
              </w:rPr>
            </w:pPr>
            <w:r w:rsidRPr="001F7A12">
              <w:rPr>
                <w:rFonts w:ascii="Calibri" w:hAnsi="Calibri"/>
                <w:b/>
                <w:bCs/>
                <w:color w:val="FF0000"/>
                <w:sz w:val="18"/>
                <w:szCs w:val="20"/>
              </w:rPr>
              <w:t>-1.250 ***</w:t>
            </w:r>
          </w:p>
        </w:tc>
        <w:tc>
          <w:tcPr>
            <w:tcW w:w="1077" w:type="dxa"/>
            <w:vAlign w:val="center"/>
          </w:tcPr>
          <w:p w:rsidR="001F7A12" w:rsidRPr="001F7A12" w:rsidRDefault="001F7A12">
            <w:pPr>
              <w:rPr>
                <w:rFonts w:ascii="Calibri" w:hAnsi="Calibri"/>
                <w:b/>
                <w:bCs/>
                <w:color w:val="FF0000"/>
                <w:sz w:val="18"/>
                <w:szCs w:val="20"/>
              </w:rPr>
            </w:pPr>
            <w:r w:rsidRPr="001F7A12">
              <w:rPr>
                <w:rFonts w:ascii="Calibri" w:hAnsi="Calibri"/>
                <w:b/>
                <w:bCs/>
                <w:color w:val="FF0000"/>
                <w:sz w:val="18"/>
                <w:szCs w:val="20"/>
              </w:rPr>
              <w:t>-0.786 ***</w:t>
            </w:r>
          </w:p>
        </w:tc>
        <w:tc>
          <w:tcPr>
            <w:tcW w:w="1077" w:type="dxa"/>
            <w:vAlign w:val="center"/>
          </w:tcPr>
          <w:p w:rsidR="001F7A12" w:rsidRPr="001F7A12" w:rsidRDefault="001F7A12">
            <w:pPr>
              <w:rPr>
                <w:rFonts w:ascii="Calibri" w:hAnsi="Calibri"/>
                <w:color w:val="000000"/>
                <w:sz w:val="18"/>
                <w:szCs w:val="20"/>
              </w:rPr>
            </w:pPr>
            <w:r w:rsidRPr="001F7A12">
              <w:rPr>
                <w:rFonts w:ascii="Calibri" w:hAnsi="Calibri"/>
                <w:color w:val="000000"/>
                <w:sz w:val="18"/>
                <w:szCs w:val="20"/>
              </w:rPr>
              <w:t>0.465</w:t>
            </w:r>
          </w:p>
        </w:tc>
        <w:tc>
          <w:tcPr>
            <w:tcW w:w="1078" w:type="dxa"/>
            <w:vAlign w:val="center"/>
          </w:tcPr>
          <w:p w:rsidR="001F7A12" w:rsidRPr="001F7A12" w:rsidRDefault="001F7A12">
            <w:pPr>
              <w:rPr>
                <w:rFonts w:ascii="Calibri" w:hAnsi="Calibri"/>
                <w:color w:val="000000"/>
                <w:sz w:val="18"/>
                <w:szCs w:val="20"/>
              </w:rPr>
            </w:pPr>
            <w:r w:rsidRPr="001F7A12">
              <w:rPr>
                <w:rFonts w:ascii="Calibri" w:hAnsi="Calibri"/>
                <w:color w:val="000000"/>
                <w:sz w:val="18"/>
                <w:szCs w:val="20"/>
              </w:rPr>
              <w:t>0.206</w:t>
            </w:r>
          </w:p>
        </w:tc>
        <w:tc>
          <w:tcPr>
            <w:tcW w:w="236" w:type="dxa"/>
          </w:tcPr>
          <w:p w:rsidR="001F7A12" w:rsidRPr="00ED504D" w:rsidRDefault="001F7A12" w:rsidP="00E759EB">
            <w:pPr>
              <w:rPr>
                <w:rFonts w:ascii="Calibri" w:hAnsi="Calibri"/>
                <w:color w:val="000000"/>
                <w:sz w:val="18"/>
              </w:rPr>
            </w:pPr>
          </w:p>
        </w:tc>
        <w:tc>
          <w:tcPr>
            <w:tcW w:w="1077" w:type="dxa"/>
            <w:vAlign w:val="center"/>
          </w:tcPr>
          <w:p w:rsidR="001F7A12" w:rsidRPr="001F7A12" w:rsidRDefault="001F7A12">
            <w:pPr>
              <w:rPr>
                <w:rFonts w:ascii="Calibri" w:hAnsi="Calibri"/>
                <w:b/>
                <w:bCs/>
                <w:color w:val="FF0000"/>
                <w:sz w:val="18"/>
                <w:szCs w:val="20"/>
              </w:rPr>
            </w:pPr>
            <w:r w:rsidRPr="001F7A12">
              <w:rPr>
                <w:rFonts w:ascii="Calibri" w:hAnsi="Calibri"/>
                <w:b/>
                <w:bCs/>
                <w:color w:val="FF0000"/>
                <w:sz w:val="18"/>
                <w:szCs w:val="20"/>
              </w:rPr>
              <w:t>-3.063 ***</w:t>
            </w:r>
          </w:p>
        </w:tc>
        <w:tc>
          <w:tcPr>
            <w:tcW w:w="1077" w:type="dxa"/>
            <w:vAlign w:val="center"/>
          </w:tcPr>
          <w:p w:rsidR="001F7A12" w:rsidRPr="001F7A12" w:rsidRDefault="001F7A12">
            <w:pPr>
              <w:rPr>
                <w:rFonts w:ascii="Calibri" w:hAnsi="Calibri"/>
                <w:b/>
                <w:bCs/>
                <w:color w:val="FF0000"/>
                <w:sz w:val="18"/>
                <w:szCs w:val="20"/>
              </w:rPr>
            </w:pPr>
            <w:r w:rsidRPr="001F7A12">
              <w:rPr>
                <w:rFonts w:ascii="Calibri" w:hAnsi="Calibri"/>
                <w:b/>
                <w:bCs/>
                <w:color w:val="FF0000"/>
                <w:sz w:val="18"/>
                <w:szCs w:val="20"/>
              </w:rPr>
              <w:t>-1.978 ***</w:t>
            </w:r>
          </w:p>
        </w:tc>
        <w:tc>
          <w:tcPr>
            <w:tcW w:w="1077" w:type="dxa"/>
            <w:vAlign w:val="center"/>
          </w:tcPr>
          <w:p w:rsidR="001F7A12" w:rsidRPr="001F7A12" w:rsidRDefault="001F7A12">
            <w:pPr>
              <w:rPr>
                <w:rFonts w:ascii="Calibri" w:hAnsi="Calibri"/>
                <w:b/>
                <w:bCs/>
                <w:color w:val="FF0000"/>
                <w:sz w:val="18"/>
                <w:szCs w:val="20"/>
              </w:rPr>
            </w:pPr>
            <w:r w:rsidRPr="001F7A12">
              <w:rPr>
                <w:rFonts w:ascii="Calibri" w:hAnsi="Calibri"/>
                <w:b/>
                <w:bCs/>
                <w:color w:val="FF0000"/>
                <w:sz w:val="18"/>
                <w:szCs w:val="20"/>
              </w:rPr>
              <w:t>-1.638 ***</w:t>
            </w:r>
          </w:p>
        </w:tc>
        <w:tc>
          <w:tcPr>
            <w:tcW w:w="1078" w:type="dxa"/>
            <w:vAlign w:val="center"/>
          </w:tcPr>
          <w:p w:rsidR="001F7A12" w:rsidRPr="001F7A12" w:rsidRDefault="001F7A12">
            <w:pPr>
              <w:rPr>
                <w:rFonts w:ascii="Calibri" w:hAnsi="Calibri"/>
                <w:b/>
                <w:bCs/>
                <w:color w:val="FF0000"/>
                <w:sz w:val="18"/>
                <w:szCs w:val="20"/>
              </w:rPr>
            </w:pPr>
            <w:r w:rsidRPr="001F7A12">
              <w:rPr>
                <w:rFonts w:ascii="Calibri" w:hAnsi="Calibri"/>
                <w:b/>
                <w:bCs/>
                <w:color w:val="FF0000"/>
                <w:sz w:val="18"/>
                <w:szCs w:val="20"/>
              </w:rPr>
              <w:t>-1.489 ***</w:t>
            </w:r>
          </w:p>
        </w:tc>
        <w:tc>
          <w:tcPr>
            <w:tcW w:w="236" w:type="dxa"/>
          </w:tcPr>
          <w:p w:rsidR="001F7A12" w:rsidRPr="006B31B1" w:rsidRDefault="001F7A12" w:rsidP="00E759EB">
            <w:pPr>
              <w:rPr>
                <w:rFonts w:ascii="Calibri" w:hAnsi="Calibri"/>
                <w:b/>
                <w:color w:val="FF0000"/>
                <w:sz w:val="18"/>
              </w:rPr>
            </w:pPr>
          </w:p>
        </w:tc>
        <w:tc>
          <w:tcPr>
            <w:tcW w:w="1077" w:type="dxa"/>
            <w:vAlign w:val="center"/>
          </w:tcPr>
          <w:p w:rsidR="001F7A12" w:rsidRPr="001F7A12" w:rsidRDefault="001F7A12">
            <w:pPr>
              <w:rPr>
                <w:rFonts w:ascii="Calibri" w:hAnsi="Calibri"/>
                <w:b/>
                <w:bCs/>
                <w:color w:val="FF0000"/>
                <w:sz w:val="18"/>
                <w:szCs w:val="20"/>
              </w:rPr>
            </w:pPr>
            <w:r w:rsidRPr="001F7A12">
              <w:rPr>
                <w:rFonts w:ascii="Calibri" w:hAnsi="Calibri"/>
                <w:b/>
                <w:bCs/>
                <w:color w:val="FF0000"/>
                <w:sz w:val="18"/>
                <w:szCs w:val="20"/>
              </w:rPr>
              <w:t>-2.619 ***</w:t>
            </w:r>
          </w:p>
        </w:tc>
        <w:tc>
          <w:tcPr>
            <w:tcW w:w="1077" w:type="dxa"/>
            <w:vAlign w:val="center"/>
          </w:tcPr>
          <w:p w:rsidR="001F7A12" w:rsidRPr="001F7A12" w:rsidRDefault="001F7A12">
            <w:pPr>
              <w:rPr>
                <w:rFonts w:ascii="Calibri" w:hAnsi="Calibri"/>
                <w:b/>
                <w:bCs/>
                <w:color w:val="FF0000"/>
                <w:sz w:val="18"/>
                <w:szCs w:val="20"/>
              </w:rPr>
            </w:pPr>
            <w:r w:rsidRPr="001F7A12">
              <w:rPr>
                <w:rFonts w:ascii="Calibri" w:hAnsi="Calibri"/>
                <w:b/>
                <w:bCs/>
                <w:color w:val="FF0000"/>
                <w:sz w:val="18"/>
                <w:szCs w:val="20"/>
              </w:rPr>
              <w:t>-1.777 ***</w:t>
            </w:r>
          </w:p>
        </w:tc>
        <w:tc>
          <w:tcPr>
            <w:tcW w:w="1077" w:type="dxa"/>
            <w:vAlign w:val="center"/>
          </w:tcPr>
          <w:p w:rsidR="001F7A12" w:rsidRPr="001F7A12" w:rsidRDefault="001F7A12">
            <w:pPr>
              <w:rPr>
                <w:rFonts w:ascii="Calibri" w:hAnsi="Calibri"/>
                <w:b/>
                <w:bCs/>
                <w:color w:val="FF0000"/>
                <w:sz w:val="18"/>
                <w:szCs w:val="20"/>
              </w:rPr>
            </w:pPr>
            <w:r w:rsidRPr="001F7A12">
              <w:rPr>
                <w:rFonts w:ascii="Calibri" w:hAnsi="Calibri"/>
                <w:b/>
                <w:bCs/>
                <w:color w:val="FF0000"/>
                <w:sz w:val="18"/>
                <w:szCs w:val="20"/>
              </w:rPr>
              <w:t>-1.655 ***</w:t>
            </w:r>
          </w:p>
        </w:tc>
        <w:tc>
          <w:tcPr>
            <w:tcW w:w="1078" w:type="dxa"/>
            <w:gridSpan w:val="2"/>
            <w:vAlign w:val="center"/>
          </w:tcPr>
          <w:p w:rsidR="001F7A12" w:rsidRPr="001F7A12" w:rsidRDefault="001F7A12">
            <w:pPr>
              <w:rPr>
                <w:rFonts w:ascii="Calibri" w:hAnsi="Calibri"/>
                <w:b/>
                <w:bCs/>
                <w:color w:val="FF0000"/>
                <w:sz w:val="18"/>
                <w:szCs w:val="20"/>
              </w:rPr>
            </w:pPr>
            <w:r w:rsidRPr="001F7A12">
              <w:rPr>
                <w:rFonts w:ascii="Calibri" w:hAnsi="Calibri"/>
                <w:b/>
                <w:bCs/>
                <w:color w:val="FF0000"/>
                <w:sz w:val="18"/>
                <w:szCs w:val="20"/>
              </w:rPr>
              <w:t>-1.541 ***</w:t>
            </w:r>
          </w:p>
        </w:tc>
      </w:tr>
      <w:tr w:rsidR="001F7A12" w:rsidRPr="00ED504D" w:rsidTr="006C43BF">
        <w:trPr>
          <w:trHeight w:val="254"/>
          <w:jc w:val="center"/>
        </w:trPr>
        <w:tc>
          <w:tcPr>
            <w:tcW w:w="1134" w:type="dxa"/>
            <w:vMerge/>
            <w:vAlign w:val="center"/>
          </w:tcPr>
          <w:p w:rsidR="001F7A12" w:rsidRPr="00ED504D" w:rsidRDefault="001F7A12" w:rsidP="006C43BF">
            <w:pPr>
              <w:rPr>
                <w:rFonts w:ascii="Calibri" w:hAnsi="Calibri"/>
                <w:color w:val="000000"/>
                <w:sz w:val="18"/>
                <w:szCs w:val="20"/>
              </w:rPr>
            </w:pPr>
          </w:p>
        </w:tc>
        <w:tc>
          <w:tcPr>
            <w:tcW w:w="236" w:type="dxa"/>
          </w:tcPr>
          <w:p w:rsidR="001F7A12" w:rsidRPr="00ED504D" w:rsidRDefault="001F7A12" w:rsidP="00E759EB">
            <w:pPr>
              <w:jc w:val="center"/>
              <w:rPr>
                <w:sz w:val="18"/>
                <w:szCs w:val="20"/>
              </w:rPr>
            </w:pPr>
          </w:p>
        </w:tc>
        <w:tc>
          <w:tcPr>
            <w:tcW w:w="1077" w:type="dxa"/>
            <w:vAlign w:val="center"/>
          </w:tcPr>
          <w:p w:rsidR="001F7A12" w:rsidRPr="001F7A12" w:rsidRDefault="001F7A12">
            <w:pPr>
              <w:jc w:val="right"/>
              <w:rPr>
                <w:rFonts w:ascii="Calibri" w:hAnsi="Calibri"/>
                <w:color w:val="000000"/>
                <w:sz w:val="18"/>
                <w:szCs w:val="18"/>
              </w:rPr>
            </w:pPr>
            <w:r w:rsidRPr="001F7A12">
              <w:rPr>
                <w:rFonts w:ascii="Calibri" w:hAnsi="Calibri"/>
                <w:color w:val="000000"/>
                <w:sz w:val="18"/>
                <w:szCs w:val="18"/>
              </w:rPr>
              <w:t>2.51%</w:t>
            </w:r>
          </w:p>
        </w:tc>
        <w:tc>
          <w:tcPr>
            <w:tcW w:w="1077" w:type="dxa"/>
            <w:vAlign w:val="center"/>
          </w:tcPr>
          <w:p w:rsidR="001F7A12" w:rsidRPr="001F7A12" w:rsidRDefault="001F7A12">
            <w:pPr>
              <w:jc w:val="right"/>
              <w:rPr>
                <w:rFonts w:ascii="Calibri" w:hAnsi="Calibri"/>
                <w:color w:val="000000"/>
                <w:sz w:val="18"/>
                <w:szCs w:val="18"/>
              </w:rPr>
            </w:pPr>
            <w:r w:rsidRPr="001F7A12">
              <w:rPr>
                <w:rFonts w:ascii="Calibri" w:hAnsi="Calibri"/>
                <w:color w:val="000000"/>
                <w:sz w:val="18"/>
                <w:szCs w:val="18"/>
              </w:rPr>
              <w:t>2.04%</w:t>
            </w:r>
          </w:p>
        </w:tc>
        <w:tc>
          <w:tcPr>
            <w:tcW w:w="1077" w:type="dxa"/>
            <w:vAlign w:val="center"/>
          </w:tcPr>
          <w:p w:rsidR="001F7A12" w:rsidRPr="001F7A12" w:rsidRDefault="001F7A12">
            <w:pPr>
              <w:jc w:val="right"/>
              <w:rPr>
                <w:rFonts w:ascii="Calibri" w:hAnsi="Calibri"/>
                <w:color w:val="000000"/>
                <w:sz w:val="18"/>
                <w:szCs w:val="18"/>
              </w:rPr>
            </w:pPr>
            <w:r w:rsidRPr="001F7A12">
              <w:rPr>
                <w:rFonts w:ascii="Calibri" w:hAnsi="Calibri"/>
                <w:color w:val="000000"/>
                <w:sz w:val="18"/>
                <w:szCs w:val="18"/>
              </w:rPr>
              <w:t>0.09%</w:t>
            </w:r>
          </w:p>
        </w:tc>
        <w:tc>
          <w:tcPr>
            <w:tcW w:w="1078" w:type="dxa"/>
            <w:vAlign w:val="center"/>
          </w:tcPr>
          <w:p w:rsidR="001F7A12" w:rsidRPr="001F7A12" w:rsidRDefault="001F7A12">
            <w:pPr>
              <w:jc w:val="right"/>
              <w:rPr>
                <w:rFonts w:ascii="Calibri" w:hAnsi="Calibri"/>
                <w:color w:val="000000"/>
                <w:sz w:val="18"/>
                <w:szCs w:val="18"/>
              </w:rPr>
            </w:pPr>
            <w:r w:rsidRPr="001F7A12">
              <w:rPr>
                <w:rFonts w:ascii="Calibri" w:hAnsi="Calibri"/>
                <w:color w:val="000000"/>
                <w:sz w:val="18"/>
                <w:szCs w:val="18"/>
              </w:rPr>
              <w:t>0.01%</w:t>
            </w:r>
          </w:p>
        </w:tc>
        <w:tc>
          <w:tcPr>
            <w:tcW w:w="236" w:type="dxa"/>
          </w:tcPr>
          <w:p w:rsidR="001F7A12" w:rsidRPr="006B31B1" w:rsidRDefault="001F7A12" w:rsidP="00E759EB">
            <w:pPr>
              <w:rPr>
                <w:rFonts w:ascii="Calibri" w:hAnsi="Calibri"/>
                <w:color w:val="000000"/>
                <w:sz w:val="18"/>
              </w:rPr>
            </w:pPr>
          </w:p>
        </w:tc>
        <w:tc>
          <w:tcPr>
            <w:tcW w:w="1077" w:type="dxa"/>
            <w:vAlign w:val="center"/>
          </w:tcPr>
          <w:p w:rsidR="001F7A12" w:rsidRPr="001F7A12" w:rsidRDefault="001F7A12">
            <w:pPr>
              <w:jc w:val="right"/>
              <w:rPr>
                <w:rFonts w:ascii="Calibri" w:hAnsi="Calibri"/>
                <w:color w:val="000000"/>
                <w:sz w:val="18"/>
                <w:szCs w:val="18"/>
              </w:rPr>
            </w:pPr>
            <w:r w:rsidRPr="001F7A12">
              <w:rPr>
                <w:rFonts w:ascii="Calibri" w:hAnsi="Calibri"/>
                <w:color w:val="000000"/>
                <w:sz w:val="18"/>
                <w:szCs w:val="18"/>
              </w:rPr>
              <w:t>31.84%</w:t>
            </w:r>
          </w:p>
        </w:tc>
        <w:tc>
          <w:tcPr>
            <w:tcW w:w="1077" w:type="dxa"/>
            <w:vAlign w:val="center"/>
          </w:tcPr>
          <w:p w:rsidR="001F7A12" w:rsidRPr="001F7A12" w:rsidRDefault="001F7A12">
            <w:pPr>
              <w:jc w:val="right"/>
              <w:rPr>
                <w:rFonts w:ascii="Calibri" w:hAnsi="Calibri"/>
                <w:color w:val="000000"/>
                <w:sz w:val="18"/>
                <w:szCs w:val="18"/>
              </w:rPr>
            </w:pPr>
            <w:r w:rsidRPr="001F7A12">
              <w:rPr>
                <w:rFonts w:ascii="Calibri" w:hAnsi="Calibri"/>
                <w:color w:val="000000"/>
                <w:sz w:val="18"/>
                <w:szCs w:val="18"/>
              </w:rPr>
              <w:t>22.91%</w:t>
            </w:r>
          </w:p>
        </w:tc>
        <w:tc>
          <w:tcPr>
            <w:tcW w:w="1077" w:type="dxa"/>
            <w:vAlign w:val="center"/>
          </w:tcPr>
          <w:p w:rsidR="001F7A12" w:rsidRPr="001F7A12" w:rsidRDefault="001F7A12">
            <w:pPr>
              <w:jc w:val="right"/>
              <w:rPr>
                <w:rFonts w:ascii="Calibri" w:hAnsi="Calibri"/>
                <w:color w:val="000000"/>
                <w:sz w:val="18"/>
                <w:szCs w:val="18"/>
              </w:rPr>
            </w:pPr>
            <w:r w:rsidRPr="001F7A12">
              <w:rPr>
                <w:rFonts w:ascii="Calibri" w:hAnsi="Calibri"/>
                <w:color w:val="000000"/>
                <w:sz w:val="18"/>
                <w:szCs w:val="18"/>
              </w:rPr>
              <w:t>7.13%</w:t>
            </w:r>
          </w:p>
        </w:tc>
        <w:tc>
          <w:tcPr>
            <w:tcW w:w="1078" w:type="dxa"/>
            <w:vAlign w:val="center"/>
          </w:tcPr>
          <w:p w:rsidR="001F7A12" w:rsidRPr="001F7A12" w:rsidRDefault="001F7A12">
            <w:pPr>
              <w:jc w:val="right"/>
              <w:rPr>
                <w:rFonts w:ascii="Calibri" w:hAnsi="Calibri"/>
                <w:color w:val="000000"/>
                <w:sz w:val="18"/>
                <w:szCs w:val="18"/>
              </w:rPr>
            </w:pPr>
            <w:r w:rsidRPr="001F7A12">
              <w:rPr>
                <w:rFonts w:ascii="Calibri" w:hAnsi="Calibri"/>
                <w:color w:val="000000"/>
                <w:sz w:val="18"/>
                <w:szCs w:val="18"/>
              </w:rPr>
              <w:t>5.73%</w:t>
            </w:r>
          </w:p>
        </w:tc>
        <w:tc>
          <w:tcPr>
            <w:tcW w:w="236" w:type="dxa"/>
          </w:tcPr>
          <w:p w:rsidR="001F7A12" w:rsidRPr="006B31B1" w:rsidRDefault="001F7A12" w:rsidP="00E759EB">
            <w:pPr>
              <w:rPr>
                <w:rFonts w:ascii="Calibri" w:hAnsi="Calibri"/>
                <w:color w:val="000000"/>
                <w:sz w:val="18"/>
              </w:rPr>
            </w:pPr>
          </w:p>
        </w:tc>
        <w:tc>
          <w:tcPr>
            <w:tcW w:w="1077" w:type="dxa"/>
            <w:vAlign w:val="center"/>
          </w:tcPr>
          <w:p w:rsidR="001F7A12" w:rsidRPr="001F7A12" w:rsidRDefault="001F7A12">
            <w:pPr>
              <w:jc w:val="right"/>
              <w:rPr>
                <w:rFonts w:ascii="Calibri" w:hAnsi="Calibri"/>
                <w:color w:val="000000"/>
                <w:sz w:val="18"/>
                <w:szCs w:val="18"/>
              </w:rPr>
            </w:pPr>
            <w:r w:rsidRPr="001F7A12">
              <w:rPr>
                <w:rFonts w:ascii="Calibri" w:hAnsi="Calibri"/>
                <w:color w:val="000000"/>
                <w:sz w:val="18"/>
                <w:szCs w:val="18"/>
              </w:rPr>
              <w:t>21.80%</w:t>
            </w:r>
          </w:p>
        </w:tc>
        <w:tc>
          <w:tcPr>
            <w:tcW w:w="1077" w:type="dxa"/>
            <w:vAlign w:val="center"/>
          </w:tcPr>
          <w:p w:rsidR="001F7A12" w:rsidRPr="001F7A12" w:rsidRDefault="001F7A12">
            <w:pPr>
              <w:jc w:val="right"/>
              <w:rPr>
                <w:rFonts w:ascii="Calibri" w:hAnsi="Calibri"/>
                <w:color w:val="000000"/>
                <w:sz w:val="18"/>
                <w:szCs w:val="18"/>
              </w:rPr>
            </w:pPr>
            <w:r w:rsidRPr="001F7A12">
              <w:rPr>
                <w:rFonts w:ascii="Calibri" w:hAnsi="Calibri"/>
                <w:color w:val="000000"/>
                <w:sz w:val="18"/>
                <w:szCs w:val="18"/>
              </w:rPr>
              <w:t>16.17%</w:t>
            </w:r>
          </w:p>
        </w:tc>
        <w:tc>
          <w:tcPr>
            <w:tcW w:w="1077" w:type="dxa"/>
            <w:vAlign w:val="center"/>
          </w:tcPr>
          <w:p w:rsidR="001F7A12" w:rsidRPr="001F7A12" w:rsidRDefault="001F7A12">
            <w:pPr>
              <w:jc w:val="right"/>
              <w:rPr>
                <w:rFonts w:ascii="Calibri" w:hAnsi="Calibri"/>
                <w:color w:val="000000"/>
                <w:sz w:val="18"/>
                <w:szCs w:val="18"/>
              </w:rPr>
            </w:pPr>
            <w:r w:rsidRPr="001F7A12">
              <w:rPr>
                <w:rFonts w:ascii="Calibri" w:hAnsi="Calibri"/>
                <w:color w:val="000000"/>
                <w:sz w:val="18"/>
                <w:szCs w:val="18"/>
              </w:rPr>
              <w:t>7.38%</w:t>
            </w:r>
          </w:p>
        </w:tc>
        <w:tc>
          <w:tcPr>
            <w:tcW w:w="1078" w:type="dxa"/>
            <w:gridSpan w:val="2"/>
            <w:vAlign w:val="center"/>
          </w:tcPr>
          <w:p w:rsidR="001F7A12" w:rsidRPr="001F7A12" w:rsidRDefault="001F7A12">
            <w:pPr>
              <w:jc w:val="right"/>
              <w:rPr>
                <w:rFonts w:ascii="Calibri" w:hAnsi="Calibri"/>
                <w:color w:val="000000"/>
                <w:sz w:val="18"/>
                <w:szCs w:val="18"/>
              </w:rPr>
            </w:pPr>
            <w:r w:rsidRPr="001F7A12">
              <w:rPr>
                <w:rFonts w:ascii="Calibri" w:hAnsi="Calibri"/>
                <w:color w:val="000000"/>
                <w:sz w:val="18"/>
                <w:szCs w:val="18"/>
              </w:rPr>
              <w:t>6.10%</w:t>
            </w:r>
          </w:p>
        </w:tc>
      </w:tr>
      <w:tr w:rsidR="001F7A12" w:rsidRPr="00ED504D" w:rsidTr="006C43BF">
        <w:trPr>
          <w:trHeight w:val="254"/>
          <w:jc w:val="center"/>
        </w:trPr>
        <w:tc>
          <w:tcPr>
            <w:tcW w:w="1134" w:type="dxa"/>
            <w:vMerge w:val="restart"/>
            <w:vAlign w:val="center"/>
          </w:tcPr>
          <w:p w:rsidR="001F7A12" w:rsidRPr="00ED504D" w:rsidRDefault="001F7A12" w:rsidP="006C43BF">
            <w:pPr>
              <w:rPr>
                <w:rFonts w:ascii="Calibri" w:hAnsi="Calibri"/>
                <w:color w:val="000000"/>
                <w:sz w:val="18"/>
                <w:szCs w:val="20"/>
              </w:rPr>
            </w:pPr>
            <w:r w:rsidRPr="00ED504D">
              <w:rPr>
                <w:rFonts w:ascii="Calibri" w:hAnsi="Calibri"/>
                <w:color w:val="000000"/>
                <w:sz w:val="18"/>
                <w:szCs w:val="20"/>
              </w:rPr>
              <w:t>Austria</w:t>
            </w:r>
          </w:p>
        </w:tc>
        <w:tc>
          <w:tcPr>
            <w:tcW w:w="236" w:type="dxa"/>
          </w:tcPr>
          <w:p w:rsidR="001F7A12" w:rsidRPr="00ED504D" w:rsidRDefault="001F7A12" w:rsidP="00E759EB">
            <w:pPr>
              <w:jc w:val="center"/>
              <w:rPr>
                <w:sz w:val="18"/>
                <w:szCs w:val="20"/>
              </w:rPr>
            </w:pPr>
          </w:p>
        </w:tc>
        <w:tc>
          <w:tcPr>
            <w:tcW w:w="1077" w:type="dxa"/>
            <w:vAlign w:val="center"/>
          </w:tcPr>
          <w:p w:rsidR="001F7A12" w:rsidRPr="001F7A12" w:rsidRDefault="001F7A12">
            <w:pPr>
              <w:rPr>
                <w:rFonts w:ascii="Calibri" w:hAnsi="Calibri"/>
                <w:b/>
                <w:bCs/>
                <w:color w:val="FF0000"/>
                <w:sz w:val="18"/>
                <w:szCs w:val="20"/>
              </w:rPr>
            </w:pPr>
            <w:r w:rsidRPr="001F7A12">
              <w:rPr>
                <w:rFonts w:ascii="Calibri" w:hAnsi="Calibri"/>
                <w:b/>
                <w:bCs/>
                <w:color w:val="FF0000"/>
                <w:sz w:val="18"/>
                <w:szCs w:val="20"/>
              </w:rPr>
              <w:t>-1.231 ***</w:t>
            </w:r>
          </w:p>
        </w:tc>
        <w:tc>
          <w:tcPr>
            <w:tcW w:w="1077" w:type="dxa"/>
            <w:vAlign w:val="center"/>
          </w:tcPr>
          <w:p w:rsidR="001F7A12" w:rsidRPr="001F7A12" w:rsidRDefault="001F7A12">
            <w:pPr>
              <w:rPr>
                <w:rFonts w:ascii="Calibri" w:hAnsi="Calibri"/>
                <w:b/>
                <w:bCs/>
                <w:color w:val="FF0000"/>
                <w:sz w:val="18"/>
                <w:szCs w:val="20"/>
              </w:rPr>
            </w:pPr>
            <w:r w:rsidRPr="001F7A12">
              <w:rPr>
                <w:rFonts w:ascii="Calibri" w:hAnsi="Calibri"/>
                <w:b/>
                <w:bCs/>
                <w:color w:val="FF0000"/>
                <w:sz w:val="18"/>
                <w:szCs w:val="20"/>
              </w:rPr>
              <w:t>-0.892 ***</w:t>
            </w:r>
          </w:p>
        </w:tc>
        <w:tc>
          <w:tcPr>
            <w:tcW w:w="1077" w:type="dxa"/>
            <w:vAlign w:val="center"/>
          </w:tcPr>
          <w:p w:rsidR="001F7A12" w:rsidRPr="001F7A12" w:rsidRDefault="001F7A12">
            <w:pPr>
              <w:rPr>
                <w:rFonts w:ascii="Calibri" w:hAnsi="Calibri"/>
                <w:color w:val="000000"/>
                <w:sz w:val="18"/>
                <w:szCs w:val="20"/>
              </w:rPr>
            </w:pPr>
            <w:r w:rsidRPr="001F7A12">
              <w:rPr>
                <w:rFonts w:ascii="Calibri" w:hAnsi="Calibri"/>
                <w:color w:val="000000"/>
                <w:sz w:val="18"/>
                <w:szCs w:val="20"/>
              </w:rPr>
              <w:t>0.524</w:t>
            </w:r>
          </w:p>
        </w:tc>
        <w:tc>
          <w:tcPr>
            <w:tcW w:w="1078" w:type="dxa"/>
            <w:vAlign w:val="center"/>
          </w:tcPr>
          <w:p w:rsidR="001F7A12" w:rsidRPr="001F7A12" w:rsidRDefault="001F7A12">
            <w:pPr>
              <w:rPr>
                <w:rFonts w:ascii="Calibri" w:hAnsi="Calibri"/>
                <w:color w:val="000000"/>
                <w:sz w:val="18"/>
                <w:szCs w:val="20"/>
              </w:rPr>
            </w:pPr>
            <w:r w:rsidRPr="001F7A12">
              <w:rPr>
                <w:rFonts w:ascii="Calibri" w:hAnsi="Calibri"/>
                <w:color w:val="000000"/>
                <w:sz w:val="18"/>
                <w:szCs w:val="20"/>
              </w:rPr>
              <w:t>0.373</w:t>
            </w:r>
          </w:p>
        </w:tc>
        <w:tc>
          <w:tcPr>
            <w:tcW w:w="236" w:type="dxa"/>
          </w:tcPr>
          <w:p w:rsidR="001F7A12" w:rsidRPr="00ED504D" w:rsidRDefault="001F7A12" w:rsidP="00E759EB">
            <w:pPr>
              <w:rPr>
                <w:rFonts w:ascii="Calibri" w:hAnsi="Calibri"/>
                <w:color w:val="000000"/>
                <w:sz w:val="18"/>
              </w:rPr>
            </w:pPr>
          </w:p>
        </w:tc>
        <w:tc>
          <w:tcPr>
            <w:tcW w:w="1077" w:type="dxa"/>
            <w:vAlign w:val="center"/>
          </w:tcPr>
          <w:p w:rsidR="001F7A12" w:rsidRPr="001F7A12" w:rsidRDefault="001F7A12">
            <w:pPr>
              <w:rPr>
                <w:rFonts w:ascii="Calibri" w:hAnsi="Calibri"/>
                <w:b/>
                <w:bCs/>
                <w:color w:val="FF0000"/>
                <w:sz w:val="18"/>
                <w:szCs w:val="20"/>
              </w:rPr>
            </w:pPr>
            <w:r w:rsidRPr="001F7A12">
              <w:rPr>
                <w:rFonts w:ascii="Calibri" w:hAnsi="Calibri"/>
                <w:b/>
                <w:bCs/>
                <w:color w:val="FF0000"/>
                <w:sz w:val="18"/>
                <w:szCs w:val="20"/>
              </w:rPr>
              <w:t>-2.993 ***</w:t>
            </w:r>
          </w:p>
        </w:tc>
        <w:tc>
          <w:tcPr>
            <w:tcW w:w="1077" w:type="dxa"/>
            <w:vAlign w:val="center"/>
          </w:tcPr>
          <w:p w:rsidR="001F7A12" w:rsidRPr="001F7A12" w:rsidRDefault="001F7A12">
            <w:pPr>
              <w:rPr>
                <w:rFonts w:ascii="Calibri" w:hAnsi="Calibri"/>
                <w:b/>
                <w:bCs/>
                <w:color w:val="FF0000"/>
                <w:sz w:val="18"/>
                <w:szCs w:val="20"/>
              </w:rPr>
            </w:pPr>
            <w:r w:rsidRPr="001F7A12">
              <w:rPr>
                <w:rFonts w:ascii="Calibri" w:hAnsi="Calibri"/>
                <w:b/>
                <w:bCs/>
                <w:color w:val="FF0000"/>
                <w:sz w:val="18"/>
                <w:szCs w:val="20"/>
              </w:rPr>
              <w:t>-2.195 ***</w:t>
            </w:r>
          </w:p>
        </w:tc>
        <w:tc>
          <w:tcPr>
            <w:tcW w:w="1077" w:type="dxa"/>
            <w:vAlign w:val="center"/>
          </w:tcPr>
          <w:p w:rsidR="001F7A12" w:rsidRPr="001F7A12" w:rsidRDefault="001F7A12">
            <w:pPr>
              <w:rPr>
                <w:rFonts w:ascii="Calibri" w:hAnsi="Calibri"/>
                <w:b/>
                <w:bCs/>
                <w:color w:val="FF0000"/>
                <w:sz w:val="18"/>
                <w:szCs w:val="20"/>
              </w:rPr>
            </w:pPr>
            <w:r w:rsidRPr="001F7A12">
              <w:rPr>
                <w:rFonts w:ascii="Calibri" w:hAnsi="Calibri"/>
                <w:b/>
                <w:bCs/>
                <w:color w:val="FF0000"/>
                <w:sz w:val="18"/>
                <w:szCs w:val="20"/>
              </w:rPr>
              <w:t>-1.810 ***</w:t>
            </w:r>
          </w:p>
        </w:tc>
        <w:tc>
          <w:tcPr>
            <w:tcW w:w="1078" w:type="dxa"/>
            <w:vAlign w:val="center"/>
          </w:tcPr>
          <w:p w:rsidR="001F7A12" w:rsidRPr="001F7A12" w:rsidRDefault="001F7A12">
            <w:pPr>
              <w:rPr>
                <w:rFonts w:ascii="Calibri" w:hAnsi="Calibri"/>
                <w:b/>
                <w:bCs/>
                <w:color w:val="FF0000"/>
                <w:sz w:val="18"/>
                <w:szCs w:val="20"/>
              </w:rPr>
            </w:pPr>
            <w:r w:rsidRPr="001F7A12">
              <w:rPr>
                <w:rFonts w:ascii="Calibri" w:hAnsi="Calibri"/>
                <w:b/>
                <w:bCs/>
                <w:color w:val="FF0000"/>
                <w:sz w:val="18"/>
                <w:szCs w:val="20"/>
              </w:rPr>
              <w:t>-1.893 ***</w:t>
            </w:r>
          </w:p>
        </w:tc>
        <w:tc>
          <w:tcPr>
            <w:tcW w:w="236" w:type="dxa"/>
          </w:tcPr>
          <w:p w:rsidR="001F7A12" w:rsidRPr="006B31B1" w:rsidRDefault="001F7A12" w:rsidP="00E759EB">
            <w:pPr>
              <w:rPr>
                <w:rFonts w:ascii="Calibri" w:hAnsi="Calibri"/>
                <w:b/>
                <w:color w:val="FF0000"/>
                <w:sz w:val="18"/>
              </w:rPr>
            </w:pPr>
          </w:p>
        </w:tc>
        <w:tc>
          <w:tcPr>
            <w:tcW w:w="1077" w:type="dxa"/>
            <w:vAlign w:val="center"/>
          </w:tcPr>
          <w:p w:rsidR="001F7A12" w:rsidRPr="001F7A12" w:rsidRDefault="001F7A12">
            <w:pPr>
              <w:rPr>
                <w:rFonts w:ascii="Calibri" w:hAnsi="Calibri"/>
                <w:b/>
                <w:bCs/>
                <w:color w:val="FF0000"/>
                <w:sz w:val="18"/>
                <w:szCs w:val="20"/>
              </w:rPr>
            </w:pPr>
            <w:r w:rsidRPr="001F7A12">
              <w:rPr>
                <w:rFonts w:ascii="Calibri" w:hAnsi="Calibri"/>
                <w:b/>
                <w:bCs/>
                <w:color w:val="FF0000"/>
                <w:sz w:val="18"/>
                <w:szCs w:val="20"/>
              </w:rPr>
              <w:t>-2.378 ***</w:t>
            </w:r>
          </w:p>
        </w:tc>
        <w:tc>
          <w:tcPr>
            <w:tcW w:w="1077" w:type="dxa"/>
            <w:vAlign w:val="center"/>
          </w:tcPr>
          <w:p w:rsidR="001F7A12" w:rsidRPr="001F7A12" w:rsidRDefault="001F7A12">
            <w:pPr>
              <w:rPr>
                <w:rFonts w:ascii="Calibri" w:hAnsi="Calibri"/>
                <w:b/>
                <w:bCs/>
                <w:color w:val="FF0000"/>
                <w:sz w:val="18"/>
                <w:szCs w:val="20"/>
              </w:rPr>
            </w:pPr>
            <w:r w:rsidRPr="001F7A12">
              <w:rPr>
                <w:rFonts w:ascii="Calibri" w:hAnsi="Calibri"/>
                <w:b/>
                <w:bCs/>
                <w:color w:val="FF0000"/>
                <w:sz w:val="18"/>
                <w:szCs w:val="20"/>
              </w:rPr>
              <w:t>-1.963 ***</w:t>
            </w:r>
          </w:p>
        </w:tc>
        <w:tc>
          <w:tcPr>
            <w:tcW w:w="1077" w:type="dxa"/>
            <w:vAlign w:val="center"/>
          </w:tcPr>
          <w:p w:rsidR="001F7A12" w:rsidRPr="001F7A12" w:rsidRDefault="001F7A12">
            <w:pPr>
              <w:rPr>
                <w:rFonts w:ascii="Calibri" w:hAnsi="Calibri"/>
                <w:b/>
                <w:bCs/>
                <w:color w:val="FF0000"/>
                <w:sz w:val="18"/>
                <w:szCs w:val="20"/>
              </w:rPr>
            </w:pPr>
            <w:r w:rsidRPr="001F7A12">
              <w:rPr>
                <w:rFonts w:ascii="Calibri" w:hAnsi="Calibri"/>
                <w:b/>
                <w:bCs/>
                <w:color w:val="FF0000"/>
                <w:sz w:val="18"/>
                <w:szCs w:val="20"/>
              </w:rPr>
              <w:t>-1.850 ***</w:t>
            </w:r>
          </w:p>
        </w:tc>
        <w:tc>
          <w:tcPr>
            <w:tcW w:w="1078" w:type="dxa"/>
            <w:gridSpan w:val="2"/>
            <w:vAlign w:val="center"/>
          </w:tcPr>
          <w:p w:rsidR="001F7A12" w:rsidRPr="001F7A12" w:rsidRDefault="001F7A12">
            <w:pPr>
              <w:rPr>
                <w:rFonts w:ascii="Calibri" w:hAnsi="Calibri"/>
                <w:b/>
                <w:bCs/>
                <w:color w:val="FF0000"/>
                <w:sz w:val="18"/>
                <w:szCs w:val="20"/>
              </w:rPr>
            </w:pPr>
            <w:r w:rsidRPr="001F7A12">
              <w:rPr>
                <w:rFonts w:ascii="Calibri" w:hAnsi="Calibri"/>
                <w:b/>
                <w:bCs/>
                <w:color w:val="FF0000"/>
                <w:sz w:val="18"/>
                <w:szCs w:val="20"/>
              </w:rPr>
              <w:t>-1.969 ***</w:t>
            </w:r>
          </w:p>
        </w:tc>
      </w:tr>
      <w:tr w:rsidR="001F7A12" w:rsidRPr="00ED504D" w:rsidTr="006C43BF">
        <w:trPr>
          <w:trHeight w:val="254"/>
          <w:jc w:val="center"/>
        </w:trPr>
        <w:tc>
          <w:tcPr>
            <w:tcW w:w="1134" w:type="dxa"/>
            <w:vMerge/>
            <w:vAlign w:val="center"/>
          </w:tcPr>
          <w:p w:rsidR="001F7A12" w:rsidRPr="00ED504D" w:rsidRDefault="001F7A12" w:rsidP="006C43BF">
            <w:pPr>
              <w:rPr>
                <w:rFonts w:ascii="Calibri" w:hAnsi="Calibri"/>
                <w:color w:val="000000"/>
                <w:sz w:val="18"/>
                <w:szCs w:val="20"/>
              </w:rPr>
            </w:pPr>
          </w:p>
        </w:tc>
        <w:tc>
          <w:tcPr>
            <w:tcW w:w="236" w:type="dxa"/>
          </w:tcPr>
          <w:p w:rsidR="001F7A12" w:rsidRPr="00ED504D" w:rsidRDefault="001F7A12" w:rsidP="00E759EB">
            <w:pPr>
              <w:jc w:val="center"/>
              <w:rPr>
                <w:sz w:val="18"/>
                <w:szCs w:val="20"/>
              </w:rPr>
            </w:pPr>
          </w:p>
        </w:tc>
        <w:tc>
          <w:tcPr>
            <w:tcW w:w="1077" w:type="dxa"/>
            <w:vAlign w:val="center"/>
          </w:tcPr>
          <w:p w:rsidR="001F7A12" w:rsidRPr="001F7A12" w:rsidRDefault="001F7A12">
            <w:pPr>
              <w:jc w:val="right"/>
              <w:rPr>
                <w:rFonts w:ascii="Calibri" w:hAnsi="Calibri"/>
                <w:color w:val="000000"/>
                <w:sz w:val="18"/>
                <w:szCs w:val="18"/>
              </w:rPr>
            </w:pPr>
            <w:r w:rsidRPr="001F7A12">
              <w:rPr>
                <w:rFonts w:ascii="Calibri" w:hAnsi="Calibri"/>
                <w:color w:val="000000"/>
                <w:sz w:val="18"/>
                <w:szCs w:val="18"/>
              </w:rPr>
              <w:t>3.30%</w:t>
            </w:r>
          </w:p>
        </w:tc>
        <w:tc>
          <w:tcPr>
            <w:tcW w:w="1077" w:type="dxa"/>
            <w:vAlign w:val="center"/>
          </w:tcPr>
          <w:p w:rsidR="001F7A12" w:rsidRPr="001F7A12" w:rsidRDefault="001F7A12">
            <w:pPr>
              <w:jc w:val="right"/>
              <w:rPr>
                <w:rFonts w:ascii="Calibri" w:hAnsi="Calibri"/>
                <w:color w:val="000000"/>
                <w:sz w:val="18"/>
                <w:szCs w:val="18"/>
              </w:rPr>
            </w:pPr>
            <w:r w:rsidRPr="001F7A12">
              <w:rPr>
                <w:rFonts w:ascii="Calibri" w:hAnsi="Calibri"/>
                <w:color w:val="000000"/>
                <w:sz w:val="18"/>
                <w:szCs w:val="18"/>
              </w:rPr>
              <w:t>2.12%</w:t>
            </w:r>
          </w:p>
        </w:tc>
        <w:tc>
          <w:tcPr>
            <w:tcW w:w="1077" w:type="dxa"/>
            <w:vAlign w:val="center"/>
          </w:tcPr>
          <w:p w:rsidR="001F7A12" w:rsidRPr="001F7A12" w:rsidRDefault="001F7A12">
            <w:pPr>
              <w:jc w:val="right"/>
              <w:rPr>
                <w:rFonts w:ascii="Calibri" w:hAnsi="Calibri"/>
                <w:color w:val="000000"/>
                <w:sz w:val="18"/>
                <w:szCs w:val="18"/>
              </w:rPr>
            </w:pPr>
            <w:r w:rsidRPr="001F7A12">
              <w:rPr>
                <w:rFonts w:ascii="Calibri" w:hAnsi="Calibri"/>
                <w:color w:val="000000"/>
                <w:sz w:val="18"/>
                <w:szCs w:val="18"/>
              </w:rPr>
              <w:t>0.13%</w:t>
            </w:r>
          </w:p>
        </w:tc>
        <w:tc>
          <w:tcPr>
            <w:tcW w:w="1078" w:type="dxa"/>
            <w:vAlign w:val="center"/>
          </w:tcPr>
          <w:p w:rsidR="001F7A12" w:rsidRPr="001F7A12" w:rsidRDefault="001F7A12">
            <w:pPr>
              <w:jc w:val="right"/>
              <w:rPr>
                <w:rFonts w:ascii="Calibri" w:hAnsi="Calibri"/>
                <w:color w:val="000000"/>
                <w:sz w:val="18"/>
                <w:szCs w:val="18"/>
              </w:rPr>
            </w:pPr>
            <w:r w:rsidRPr="001F7A12">
              <w:rPr>
                <w:rFonts w:ascii="Calibri" w:hAnsi="Calibri"/>
                <w:color w:val="000000"/>
                <w:sz w:val="18"/>
                <w:szCs w:val="18"/>
              </w:rPr>
              <w:t>0.04%</w:t>
            </w:r>
          </w:p>
        </w:tc>
        <w:tc>
          <w:tcPr>
            <w:tcW w:w="236" w:type="dxa"/>
          </w:tcPr>
          <w:p w:rsidR="001F7A12" w:rsidRPr="006B31B1" w:rsidRDefault="001F7A12" w:rsidP="00E759EB">
            <w:pPr>
              <w:rPr>
                <w:rFonts w:ascii="Calibri" w:hAnsi="Calibri"/>
                <w:color w:val="000000"/>
                <w:sz w:val="18"/>
              </w:rPr>
            </w:pPr>
          </w:p>
        </w:tc>
        <w:tc>
          <w:tcPr>
            <w:tcW w:w="1077" w:type="dxa"/>
            <w:vAlign w:val="center"/>
          </w:tcPr>
          <w:p w:rsidR="001F7A12" w:rsidRPr="001F7A12" w:rsidRDefault="001F7A12">
            <w:pPr>
              <w:jc w:val="right"/>
              <w:rPr>
                <w:rFonts w:ascii="Calibri" w:hAnsi="Calibri"/>
                <w:color w:val="000000"/>
                <w:sz w:val="18"/>
                <w:szCs w:val="18"/>
              </w:rPr>
            </w:pPr>
            <w:r w:rsidRPr="001F7A12">
              <w:rPr>
                <w:rFonts w:ascii="Calibri" w:hAnsi="Calibri"/>
                <w:color w:val="000000"/>
                <w:sz w:val="18"/>
                <w:szCs w:val="18"/>
              </w:rPr>
              <w:t>34.11%</w:t>
            </w:r>
          </w:p>
        </w:tc>
        <w:tc>
          <w:tcPr>
            <w:tcW w:w="1077" w:type="dxa"/>
            <w:vAlign w:val="center"/>
          </w:tcPr>
          <w:p w:rsidR="001F7A12" w:rsidRPr="001F7A12" w:rsidRDefault="001F7A12">
            <w:pPr>
              <w:jc w:val="right"/>
              <w:rPr>
                <w:rFonts w:ascii="Calibri" w:hAnsi="Calibri"/>
                <w:color w:val="000000"/>
                <w:sz w:val="18"/>
                <w:szCs w:val="18"/>
              </w:rPr>
            </w:pPr>
            <w:r w:rsidRPr="001F7A12">
              <w:rPr>
                <w:rFonts w:ascii="Calibri" w:hAnsi="Calibri"/>
                <w:color w:val="000000"/>
                <w:sz w:val="18"/>
                <w:szCs w:val="18"/>
              </w:rPr>
              <w:t>22.59%</w:t>
            </w:r>
          </w:p>
        </w:tc>
        <w:tc>
          <w:tcPr>
            <w:tcW w:w="1077" w:type="dxa"/>
            <w:vAlign w:val="center"/>
          </w:tcPr>
          <w:p w:rsidR="001F7A12" w:rsidRPr="001F7A12" w:rsidRDefault="001F7A12">
            <w:pPr>
              <w:jc w:val="right"/>
              <w:rPr>
                <w:rFonts w:ascii="Calibri" w:hAnsi="Calibri"/>
                <w:color w:val="000000"/>
                <w:sz w:val="18"/>
                <w:szCs w:val="18"/>
              </w:rPr>
            </w:pPr>
            <w:r w:rsidRPr="001F7A12">
              <w:rPr>
                <w:rFonts w:ascii="Calibri" w:hAnsi="Calibri"/>
                <w:color w:val="000000"/>
                <w:sz w:val="18"/>
                <w:szCs w:val="18"/>
              </w:rPr>
              <w:t>9.81%</w:t>
            </w:r>
          </w:p>
        </w:tc>
        <w:tc>
          <w:tcPr>
            <w:tcW w:w="1078" w:type="dxa"/>
            <w:vAlign w:val="center"/>
          </w:tcPr>
          <w:p w:rsidR="001F7A12" w:rsidRPr="001F7A12" w:rsidRDefault="001F7A12">
            <w:pPr>
              <w:jc w:val="right"/>
              <w:rPr>
                <w:rFonts w:ascii="Calibri" w:hAnsi="Calibri"/>
                <w:color w:val="000000"/>
                <w:sz w:val="18"/>
                <w:szCs w:val="18"/>
              </w:rPr>
            </w:pPr>
            <w:r w:rsidRPr="001F7A12">
              <w:rPr>
                <w:rFonts w:ascii="Calibri" w:hAnsi="Calibri"/>
                <w:color w:val="000000"/>
                <w:sz w:val="18"/>
                <w:szCs w:val="18"/>
              </w:rPr>
              <w:t>8.83%</w:t>
            </w:r>
          </w:p>
        </w:tc>
        <w:tc>
          <w:tcPr>
            <w:tcW w:w="236" w:type="dxa"/>
          </w:tcPr>
          <w:p w:rsidR="001F7A12" w:rsidRPr="006B31B1" w:rsidRDefault="001F7A12" w:rsidP="00E759EB">
            <w:pPr>
              <w:rPr>
                <w:rFonts w:ascii="Calibri" w:hAnsi="Calibri"/>
                <w:color w:val="000000"/>
                <w:sz w:val="18"/>
              </w:rPr>
            </w:pPr>
          </w:p>
        </w:tc>
        <w:tc>
          <w:tcPr>
            <w:tcW w:w="1077" w:type="dxa"/>
            <w:vAlign w:val="center"/>
          </w:tcPr>
          <w:p w:rsidR="001F7A12" w:rsidRPr="001F7A12" w:rsidRDefault="001F7A12">
            <w:pPr>
              <w:jc w:val="right"/>
              <w:rPr>
                <w:rFonts w:ascii="Calibri" w:hAnsi="Calibri"/>
                <w:color w:val="000000"/>
                <w:sz w:val="18"/>
                <w:szCs w:val="18"/>
              </w:rPr>
            </w:pPr>
            <w:r w:rsidRPr="001F7A12">
              <w:rPr>
                <w:rFonts w:ascii="Calibri" w:hAnsi="Calibri"/>
                <w:color w:val="000000"/>
                <w:sz w:val="18"/>
                <w:szCs w:val="18"/>
              </w:rPr>
              <w:t>20.60%</w:t>
            </w:r>
          </w:p>
        </w:tc>
        <w:tc>
          <w:tcPr>
            <w:tcW w:w="1077" w:type="dxa"/>
            <w:vAlign w:val="center"/>
          </w:tcPr>
          <w:p w:rsidR="001F7A12" w:rsidRPr="001F7A12" w:rsidRDefault="001F7A12">
            <w:pPr>
              <w:jc w:val="right"/>
              <w:rPr>
                <w:rFonts w:ascii="Calibri" w:hAnsi="Calibri"/>
                <w:color w:val="000000"/>
                <w:sz w:val="18"/>
                <w:szCs w:val="18"/>
              </w:rPr>
            </w:pPr>
            <w:r w:rsidRPr="001F7A12">
              <w:rPr>
                <w:rFonts w:ascii="Calibri" w:hAnsi="Calibri"/>
                <w:color w:val="000000"/>
                <w:sz w:val="18"/>
                <w:szCs w:val="18"/>
              </w:rPr>
              <w:t>15.82%</w:t>
            </w:r>
          </w:p>
        </w:tc>
        <w:tc>
          <w:tcPr>
            <w:tcW w:w="1077" w:type="dxa"/>
            <w:vAlign w:val="center"/>
          </w:tcPr>
          <w:p w:rsidR="001F7A12" w:rsidRPr="001F7A12" w:rsidRDefault="001F7A12">
            <w:pPr>
              <w:jc w:val="right"/>
              <w:rPr>
                <w:rFonts w:ascii="Calibri" w:hAnsi="Calibri"/>
                <w:color w:val="000000"/>
                <w:sz w:val="18"/>
                <w:szCs w:val="18"/>
              </w:rPr>
            </w:pPr>
            <w:r w:rsidRPr="001F7A12">
              <w:rPr>
                <w:rFonts w:ascii="Calibri" w:hAnsi="Calibri"/>
                <w:color w:val="000000"/>
                <w:sz w:val="18"/>
                <w:szCs w:val="18"/>
              </w:rPr>
              <w:t>10.34%</w:t>
            </w:r>
          </w:p>
        </w:tc>
        <w:tc>
          <w:tcPr>
            <w:tcW w:w="1078" w:type="dxa"/>
            <w:gridSpan w:val="2"/>
            <w:vAlign w:val="center"/>
          </w:tcPr>
          <w:p w:rsidR="001F7A12" w:rsidRPr="001F7A12" w:rsidRDefault="001F7A12">
            <w:pPr>
              <w:jc w:val="right"/>
              <w:rPr>
                <w:rFonts w:ascii="Calibri" w:hAnsi="Calibri"/>
                <w:color w:val="000000"/>
                <w:sz w:val="18"/>
                <w:szCs w:val="18"/>
              </w:rPr>
            </w:pPr>
            <w:r w:rsidRPr="001F7A12">
              <w:rPr>
                <w:rFonts w:ascii="Calibri" w:hAnsi="Calibri"/>
                <w:color w:val="000000"/>
                <w:sz w:val="18"/>
                <w:szCs w:val="18"/>
              </w:rPr>
              <w:t>9.60%</w:t>
            </w:r>
          </w:p>
        </w:tc>
      </w:tr>
      <w:tr w:rsidR="001F7A12" w:rsidRPr="00ED504D" w:rsidTr="006C43BF">
        <w:trPr>
          <w:trHeight w:val="254"/>
          <w:jc w:val="center"/>
        </w:trPr>
        <w:tc>
          <w:tcPr>
            <w:tcW w:w="1134" w:type="dxa"/>
            <w:vMerge w:val="restart"/>
            <w:vAlign w:val="center"/>
          </w:tcPr>
          <w:p w:rsidR="001F7A12" w:rsidRPr="00ED504D" w:rsidRDefault="001F7A12" w:rsidP="006C43BF">
            <w:pPr>
              <w:rPr>
                <w:rFonts w:ascii="Calibri" w:hAnsi="Calibri"/>
                <w:color w:val="000000"/>
                <w:sz w:val="18"/>
                <w:szCs w:val="20"/>
              </w:rPr>
            </w:pPr>
            <w:r w:rsidRPr="00ED504D">
              <w:rPr>
                <w:rFonts w:ascii="Calibri" w:hAnsi="Calibri"/>
                <w:color w:val="000000"/>
                <w:sz w:val="18"/>
                <w:szCs w:val="20"/>
              </w:rPr>
              <w:t>Belgium</w:t>
            </w:r>
          </w:p>
        </w:tc>
        <w:tc>
          <w:tcPr>
            <w:tcW w:w="236" w:type="dxa"/>
          </w:tcPr>
          <w:p w:rsidR="001F7A12" w:rsidRPr="00ED504D" w:rsidRDefault="001F7A12" w:rsidP="00E759EB">
            <w:pPr>
              <w:jc w:val="center"/>
              <w:rPr>
                <w:sz w:val="18"/>
                <w:szCs w:val="20"/>
              </w:rPr>
            </w:pPr>
          </w:p>
        </w:tc>
        <w:tc>
          <w:tcPr>
            <w:tcW w:w="1077" w:type="dxa"/>
            <w:vAlign w:val="center"/>
          </w:tcPr>
          <w:p w:rsidR="001F7A12" w:rsidRPr="001F7A12" w:rsidRDefault="001F7A12">
            <w:pPr>
              <w:rPr>
                <w:rFonts w:ascii="Calibri" w:hAnsi="Calibri"/>
                <w:b/>
                <w:bCs/>
                <w:color w:val="FF0000"/>
                <w:sz w:val="18"/>
                <w:szCs w:val="20"/>
              </w:rPr>
            </w:pPr>
            <w:r w:rsidRPr="001F7A12">
              <w:rPr>
                <w:rFonts w:ascii="Calibri" w:hAnsi="Calibri"/>
                <w:b/>
                <w:bCs/>
                <w:color w:val="FF0000"/>
                <w:sz w:val="18"/>
                <w:szCs w:val="20"/>
              </w:rPr>
              <w:t>-1.332 ***</w:t>
            </w:r>
          </w:p>
        </w:tc>
        <w:tc>
          <w:tcPr>
            <w:tcW w:w="1077" w:type="dxa"/>
            <w:vAlign w:val="center"/>
          </w:tcPr>
          <w:p w:rsidR="001F7A12" w:rsidRPr="001F7A12" w:rsidRDefault="001F7A12">
            <w:pPr>
              <w:rPr>
                <w:rFonts w:ascii="Calibri" w:hAnsi="Calibri"/>
                <w:b/>
                <w:bCs/>
                <w:color w:val="FF0000"/>
                <w:sz w:val="18"/>
                <w:szCs w:val="20"/>
              </w:rPr>
            </w:pPr>
            <w:r w:rsidRPr="001F7A12">
              <w:rPr>
                <w:rFonts w:ascii="Calibri" w:hAnsi="Calibri"/>
                <w:b/>
                <w:bCs/>
                <w:color w:val="FF0000"/>
                <w:sz w:val="18"/>
                <w:szCs w:val="20"/>
              </w:rPr>
              <w:t>-0.830 ***</w:t>
            </w:r>
          </w:p>
        </w:tc>
        <w:tc>
          <w:tcPr>
            <w:tcW w:w="1077" w:type="dxa"/>
            <w:vAlign w:val="center"/>
          </w:tcPr>
          <w:p w:rsidR="001F7A12" w:rsidRPr="001F7A12" w:rsidRDefault="001F7A12">
            <w:pPr>
              <w:rPr>
                <w:rFonts w:ascii="Calibri" w:hAnsi="Calibri"/>
                <w:color w:val="000000"/>
                <w:sz w:val="18"/>
                <w:szCs w:val="20"/>
              </w:rPr>
            </w:pPr>
            <w:r w:rsidRPr="001F7A12">
              <w:rPr>
                <w:rFonts w:ascii="Calibri" w:hAnsi="Calibri"/>
                <w:color w:val="000000"/>
                <w:sz w:val="18"/>
                <w:szCs w:val="20"/>
              </w:rPr>
              <w:t>-0.499</w:t>
            </w:r>
          </w:p>
        </w:tc>
        <w:tc>
          <w:tcPr>
            <w:tcW w:w="1078" w:type="dxa"/>
            <w:vAlign w:val="center"/>
          </w:tcPr>
          <w:p w:rsidR="001F7A12" w:rsidRPr="001F7A12" w:rsidRDefault="001F7A12">
            <w:pPr>
              <w:rPr>
                <w:rFonts w:ascii="Calibri" w:hAnsi="Calibri"/>
                <w:color w:val="000000"/>
                <w:sz w:val="18"/>
                <w:szCs w:val="20"/>
              </w:rPr>
            </w:pPr>
            <w:r w:rsidRPr="001F7A12">
              <w:rPr>
                <w:rFonts w:ascii="Calibri" w:hAnsi="Calibri"/>
                <w:color w:val="000000"/>
                <w:sz w:val="18"/>
                <w:szCs w:val="20"/>
              </w:rPr>
              <w:t>0.182</w:t>
            </w:r>
          </w:p>
        </w:tc>
        <w:tc>
          <w:tcPr>
            <w:tcW w:w="236" w:type="dxa"/>
          </w:tcPr>
          <w:p w:rsidR="001F7A12" w:rsidRPr="00ED504D" w:rsidRDefault="001F7A12" w:rsidP="00E759EB">
            <w:pPr>
              <w:rPr>
                <w:rFonts w:ascii="Calibri" w:hAnsi="Calibri"/>
                <w:color w:val="000000"/>
                <w:sz w:val="18"/>
              </w:rPr>
            </w:pPr>
          </w:p>
        </w:tc>
        <w:tc>
          <w:tcPr>
            <w:tcW w:w="1077" w:type="dxa"/>
            <w:vAlign w:val="center"/>
          </w:tcPr>
          <w:p w:rsidR="001F7A12" w:rsidRPr="001F7A12" w:rsidRDefault="001F7A12">
            <w:pPr>
              <w:rPr>
                <w:rFonts w:ascii="Calibri" w:hAnsi="Calibri"/>
                <w:b/>
                <w:bCs/>
                <w:color w:val="FF0000"/>
                <w:sz w:val="18"/>
                <w:szCs w:val="20"/>
              </w:rPr>
            </w:pPr>
            <w:r w:rsidRPr="001F7A12">
              <w:rPr>
                <w:rFonts w:ascii="Calibri" w:hAnsi="Calibri"/>
                <w:b/>
                <w:bCs/>
                <w:color w:val="FF0000"/>
                <w:sz w:val="18"/>
                <w:szCs w:val="20"/>
              </w:rPr>
              <w:t>-3.309 ***</w:t>
            </w:r>
          </w:p>
        </w:tc>
        <w:tc>
          <w:tcPr>
            <w:tcW w:w="1077" w:type="dxa"/>
            <w:vAlign w:val="center"/>
          </w:tcPr>
          <w:p w:rsidR="001F7A12" w:rsidRPr="001F7A12" w:rsidRDefault="001F7A12">
            <w:pPr>
              <w:rPr>
                <w:rFonts w:ascii="Calibri" w:hAnsi="Calibri"/>
                <w:b/>
                <w:bCs/>
                <w:color w:val="FF0000"/>
                <w:sz w:val="18"/>
                <w:szCs w:val="20"/>
              </w:rPr>
            </w:pPr>
            <w:r w:rsidRPr="001F7A12">
              <w:rPr>
                <w:rFonts w:ascii="Calibri" w:hAnsi="Calibri"/>
                <w:b/>
                <w:bCs/>
                <w:color w:val="FF0000"/>
                <w:sz w:val="18"/>
                <w:szCs w:val="20"/>
              </w:rPr>
              <w:t>-1.963 ***</w:t>
            </w:r>
          </w:p>
        </w:tc>
        <w:tc>
          <w:tcPr>
            <w:tcW w:w="1077" w:type="dxa"/>
            <w:vAlign w:val="center"/>
          </w:tcPr>
          <w:p w:rsidR="001F7A12" w:rsidRPr="001F7A12" w:rsidRDefault="001F7A12">
            <w:pPr>
              <w:rPr>
                <w:rFonts w:ascii="Calibri" w:hAnsi="Calibri"/>
                <w:b/>
                <w:bCs/>
                <w:color w:val="FF0000"/>
                <w:sz w:val="18"/>
                <w:szCs w:val="20"/>
              </w:rPr>
            </w:pPr>
            <w:r w:rsidRPr="001F7A12">
              <w:rPr>
                <w:rFonts w:ascii="Calibri" w:hAnsi="Calibri"/>
                <w:b/>
                <w:bCs/>
                <w:color w:val="FF0000"/>
                <w:sz w:val="18"/>
                <w:szCs w:val="20"/>
              </w:rPr>
              <w:t>-0.592 ***</w:t>
            </w:r>
          </w:p>
        </w:tc>
        <w:tc>
          <w:tcPr>
            <w:tcW w:w="1078" w:type="dxa"/>
            <w:vAlign w:val="center"/>
          </w:tcPr>
          <w:p w:rsidR="001F7A12" w:rsidRPr="001F7A12" w:rsidRDefault="001F7A12">
            <w:pPr>
              <w:rPr>
                <w:rFonts w:ascii="Calibri" w:hAnsi="Calibri"/>
                <w:b/>
                <w:bCs/>
                <w:color w:val="FF0000"/>
                <w:sz w:val="18"/>
                <w:szCs w:val="20"/>
              </w:rPr>
            </w:pPr>
            <w:r w:rsidRPr="001F7A12">
              <w:rPr>
                <w:rFonts w:ascii="Calibri" w:hAnsi="Calibri"/>
                <w:b/>
                <w:bCs/>
                <w:color w:val="FF0000"/>
                <w:sz w:val="18"/>
                <w:szCs w:val="20"/>
              </w:rPr>
              <w:t>-1.277 ***</w:t>
            </w:r>
          </w:p>
        </w:tc>
        <w:tc>
          <w:tcPr>
            <w:tcW w:w="236" w:type="dxa"/>
          </w:tcPr>
          <w:p w:rsidR="001F7A12" w:rsidRPr="006B31B1" w:rsidRDefault="001F7A12" w:rsidP="00E759EB">
            <w:pPr>
              <w:rPr>
                <w:rFonts w:ascii="Calibri" w:hAnsi="Calibri"/>
                <w:b/>
                <w:color w:val="FF0000"/>
                <w:sz w:val="18"/>
              </w:rPr>
            </w:pPr>
          </w:p>
        </w:tc>
        <w:tc>
          <w:tcPr>
            <w:tcW w:w="1077" w:type="dxa"/>
            <w:vAlign w:val="center"/>
          </w:tcPr>
          <w:p w:rsidR="001F7A12" w:rsidRPr="001F7A12" w:rsidRDefault="001F7A12">
            <w:pPr>
              <w:rPr>
                <w:rFonts w:ascii="Calibri" w:hAnsi="Calibri"/>
                <w:b/>
                <w:bCs/>
                <w:color w:val="FF0000"/>
                <w:sz w:val="18"/>
                <w:szCs w:val="20"/>
              </w:rPr>
            </w:pPr>
            <w:r w:rsidRPr="001F7A12">
              <w:rPr>
                <w:rFonts w:ascii="Calibri" w:hAnsi="Calibri"/>
                <w:b/>
                <w:bCs/>
                <w:color w:val="FF0000"/>
                <w:sz w:val="18"/>
                <w:szCs w:val="20"/>
              </w:rPr>
              <w:t>-2.640 ***</w:t>
            </w:r>
          </w:p>
        </w:tc>
        <w:tc>
          <w:tcPr>
            <w:tcW w:w="1077" w:type="dxa"/>
            <w:vAlign w:val="center"/>
          </w:tcPr>
          <w:p w:rsidR="001F7A12" w:rsidRPr="001F7A12" w:rsidRDefault="001F7A12">
            <w:pPr>
              <w:rPr>
                <w:rFonts w:ascii="Calibri" w:hAnsi="Calibri"/>
                <w:b/>
                <w:bCs/>
                <w:color w:val="FF0000"/>
                <w:sz w:val="18"/>
                <w:szCs w:val="20"/>
              </w:rPr>
            </w:pPr>
            <w:r w:rsidRPr="001F7A12">
              <w:rPr>
                <w:rFonts w:ascii="Calibri" w:hAnsi="Calibri"/>
                <w:b/>
                <w:bCs/>
                <w:color w:val="FF0000"/>
                <w:sz w:val="18"/>
                <w:szCs w:val="20"/>
              </w:rPr>
              <w:t>-1.755 ***</w:t>
            </w:r>
          </w:p>
        </w:tc>
        <w:tc>
          <w:tcPr>
            <w:tcW w:w="1077" w:type="dxa"/>
            <w:vAlign w:val="center"/>
          </w:tcPr>
          <w:p w:rsidR="001F7A12" w:rsidRPr="001F7A12" w:rsidRDefault="001F7A12">
            <w:pPr>
              <w:rPr>
                <w:rFonts w:ascii="Calibri" w:hAnsi="Calibri"/>
                <w:b/>
                <w:bCs/>
                <w:color w:val="FF0000"/>
                <w:sz w:val="18"/>
                <w:szCs w:val="20"/>
              </w:rPr>
            </w:pPr>
            <w:r w:rsidRPr="001F7A12">
              <w:rPr>
                <w:rFonts w:ascii="Calibri" w:hAnsi="Calibri"/>
                <w:b/>
                <w:bCs/>
                <w:color w:val="FF0000"/>
                <w:sz w:val="18"/>
                <w:szCs w:val="20"/>
              </w:rPr>
              <w:t>-0.469 **</w:t>
            </w:r>
          </w:p>
        </w:tc>
        <w:tc>
          <w:tcPr>
            <w:tcW w:w="1078" w:type="dxa"/>
            <w:gridSpan w:val="2"/>
            <w:vAlign w:val="center"/>
          </w:tcPr>
          <w:p w:rsidR="001F7A12" w:rsidRPr="001F7A12" w:rsidRDefault="001F7A12">
            <w:pPr>
              <w:rPr>
                <w:rFonts w:ascii="Calibri" w:hAnsi="Calibri"/>
                <w:b/>
                <w:bCs/>
                <w:color w:val="FF0000"/>
                <w:sz w:val="18"/>
                <w:szCs w:val="20"/>
              </w:rPr>
            </w:pPr>
            <w:r w:rsidRPr="001F7A12">
              <w:rPr>
                <w:rFonts w:ascii="Calibri" w:hAnsi="Calibri"/>
                <w:b/>
                <w:bCs/>
                <w:color w:val="FF0000"/>
                <w:sz w:val="18"/>
                <w:szCs w:val="20"/>
              </w:rPr>
              <w:t>-1.315 ***</w:t>
            </w:r>
          </w:p>
        </w:tc>
      </w:tr>
      <w:tr w:rsidR="001F7A12" w:rsidRPr="00ED504D" w:rsidTr="006C43BF">
        <w:trPr>
          <w:trHeight w:val="254"/>
          <w:jc w:val="center"/>
        </w:trPr>
        <w:tc>
          <w:tcPr>
            <w:tcW w:w="1134" w:type="dxa"/>
            <w:vMerge/>
            <w:vAlign w:val="center"/>
          </w:tcPr>
          <w:p w:rsidR="001F7A12" w:rsidRPr="00ED504D" w:rsidRDefault="001F7A12" w:rsidP="006C43BF">
            <w:pPr>
              <w:rPr>
                <w:rFonts w:ascii="Calibri" w:hAnsi="Calibri"/>
                <w:color w:val="000000"/>
                <w:sz w:val="18"/>
                <w:szCs w:val="20"/>
              </w:rPr>
            </w:pPr>
          </w:p>
        </w:tc>
        <w:tc>
          <w:tcPr>
            <w:tcW w:w="236" w:type="dxa"/>
          </w:tcPr>
          <w:p w:rsidR="001F7A12" w:rsidRPr="00ED504D" w:rsidRDefault="001F7A12" w:rsidP="00E759EB">
            <w:pPr>
              <w:jc w:val="center"/>
              <w:rPr>
                <w:sz w:val="18"/>
                <w:szCs w:val="20"/>
              </w:rPr>
            </w:pPr>
          </w:p>
        </w:tc>
        <w:tc>
          <w:tcPr>
            <w:tcW w:w="1077" w:type="dxa"/>
            <w:vAlign w:val="center"/>
          </w:tcPr>
          <w:p w:rsidR="001F7A12" w:rsidRPr="001F7A12" w:rsidRDefault="001F7A12">
            <w:pPr>
              <w:jc w:val="right"/>
              <w:rPr>
                <w:rFonts w:ascii="Calibri" w:hAnsi="Calibri"/>
                <w:color w:val="000000"/>
                <w:sz w:val="18"/>
                <w:szCs w:val="18"/>
              </w:rPr>
            </w:pPr>
            <w:r w:rsidRPr="001F7A12">
              <w:rPr>
                <w:rFonts w:ascii="Calibri" w:hAnsi="Calibri"/>
                <w:color w:val="000000"/>
                <w:sz w:val="18"/>
                <w:szCs w:val="18"/>
              </w:rPr>
              <w:t>3.23%</w:t>
            </w:r>
          </w:p>
        </w:tc>
        <w:tc>
          <w:tcPr>
            <w:tcW w:w="1077" w:type="dxa"/>
            <w:vAlign w:val="center"/>
          </w:tcPr>
          <w:p w:rsidR="001F7A12" w:rsidRPr="001F7A12" w:rsidRDefault="001F7A12">
            <w:pPr>
              <w:jc w:val="right"/>
              <w:rPr>
                <w:rFonts w:ascii="Calibri" w:hAnsi="Calibri"/>
                <w:color w:val="000000"/>
                <w:sz w:val="18"/>
                <w:szCs w:val="18"/>
              </w:rPr>
            </w:pPr>
            <w:r w:rsidRPr="001F7A12">
              <w:rPr>
                <w:rFonts w:ascii="Calibri" w:hAnsi="Calibri"/>
                <w:color w:val="000000"/>
                <w:sz w:val="18"/>
                <w:szCs w:val="18"/>
              </w:rPr>
              <w:t>2.31%</w:t>
            </w:r>
          </w:p>
        </w:tc>
        <w:tc>
          <w:tcPr>
            <w:tcW w:w="1077" w:type="dxa"/>
            <w:vAlign w:val="center"/>
          </w:tcPr>
          <w:p w:rsidR="001F7A12" w:rsidRPr="001F7A12" w:rsidRDefault="001F7A12">
            <w:pPr>
              <w:jc w:val="right"/>
              <w:rPr>
                <w:rFonts w:ascii="Calibri" w:hAnsi="Calibri"/>
                <w:color w:val="000000"/>
                <w:sz w:val="18"/>
                <w:szCs w:val="18"/>
              </w:rPr>
            </w:pPr>
            <w:r w:rsidRPr="001F7A12">
              <w:rPr>
                <w:rFonts w:ascii="Calibri" w:hAnsi="Calibri"/>
                <w:color w:val="000000"/>
                <w:sz w:val="18"/>
                <w:szCs w:val="18"/>
              </w:rPr>
              <w:t>0.09%</w:t>
            </w:r>
          </w:p>
        </w:tc>
        <w:tc>
          <w:tcPr>
            <w:tcW w:w="1078" w:type="dxa"/>
            <w:vAlign w:val="center"/>
          </w:tcPr>
          <w:p w:rsidR="001F7A12" w:rsidRPr="001F7A12" w:rsidRDefault="001F7A12">
            <w:pPr>
              <w:jc w:val="right"/>
              <w:rPr>
                <w:rFonts w:ascii="Calibri" w:hAnsi="Calibri"/>
                <w:color w:val="000000"/>
                <w:sz w:val="18"/>
                <w:szCs w:val="18"/>
              </w:rPr>
            </w:pPr>
            <w:r w:rsidRPr="001F7A12">
              <w:rPr>
                <w:rFonts w:ascii="Calibri" w:hAnsi="Calibri"/>
                <w:color w:val="000000"/>
                <w:sz w:val="18"/>
                <w:szCs w:val="18"/>
              </w:rPr>
              <w:t>0.00%</w:t>
            </w:r>
          </w:p>
        </w:tc>
        <w:tc>
          <w:tcPr>
            <w:tcW w:w="236" w:type="dxa"/>
          </w:tcPr>
          <w:p w:rsidR="001F7A12" w:rsidRPr="006B31B1" w:rsidRDefault="001F7A12" w:rsidP="00E759EB">
            <w:pPr>
              <w:rPr>
                <w:rFonts w:ascii="Calibri" w:hAnsi="Calibri"/>
                <w:color w:val="000000"/>
                <w:sz w:val="18"/>
              </w:rPr>
            </w:pPr>
          </w:p>
        </w:tc>
        <w:tc>
          <w:tcPr>
            <w:tcW w:w="1077" w:type="dxa"/>
            <w:vAlign w:val="center"/>
          </w:tcPr>
          <w:p w:rsidR="001F7A12" w:rsidRPr="001F7A12" w:rsidRDefault="001F7A12">
            <w:pPr>
              <w:jc w:val="right"/>
              <w:rPr>
                <w:rFonts w:ascii="Calibri" w:hAnsi="Calibri"/>
                <w:color w:val="000000"/>
                <w:sz w:val="18"/>
                <w:szCs w:val="18"/>
              </w:rPr>
            </w:pPr>
            <w:r w:rsidRPr="001F7A12">
              <w:rPr>
                <w:rFonts w:ascii="Calibri" w:hAnsi="Calibri"/>
                <w:color w:val="000000"/>
                <w:sz w:val="18"/>
                <w:szCs w:val="18"/>
              </w:rPr>
              <w:t>34.54%</w:t>
            </w:r>
          </w:p>
        </w:tc>
        <w:tc>
          <w:tcPr>
            <w:tcW w:w="1077" w:type="dxa"/>
            <w:vAlign w:val="center"/>
          </w:tcPr>
          <w:p w:rsidR="001F7A12" w:rsidRPr="001F7A12" w:rsidRDefault="001F7A12">
            <w:pPr>
              <w:jc w:val="right"/>
              <w:rPr>
                <w:rFonts w:ascii="Calibri" w:hAnsi="Calibri"/>
                <w:color w:val="000000"/>
                <w:sz w:val="18"/>
                <w:szCs w:val="18"/>
              </w:rPr>
            </w:pPr>
            <w:r w:rsidRPr="001F7A12">
              <w:rPr>
                <w:rFonts w:ascii="Calibri" w:hAnsi="Calibri"/>
                <w:color w:val="000000"/>
                <w:sz w:val="18"/>
                <w:szCs w:val="18"/>
              </w:rPr>
              <w:t>23.51%</w:t>
            </w:r>
          </w:p>
        </w:tc>
        <w:tc>
          <w:tcPr>
            <w:tcW w:w="1077" w:type="dxa"/>
            <w:vAlign w:val="center"/>
          </w:tcPr>
          <w:p w:rsidR="001F7A12" w:rsidRPr="001F7A12" w:rsidRDefault="001F7A12">
            <w:pPr>
              <w:jc w:val="right"/>
              <w:rPr>
                <w:rFonts w:ascii="Calibri" w:hAnsi="Calibri"/>
                <w:color w:val="000000"/>
                <w:sz w:val="18"/>
                <w:szCs w:val="18"/>
              </w:rPr>
            </w:pPr>
            <w:r w:rsidRPr="001F7A12">
              <w:rPr>
                <w:rFonts w:ascii="Calibri" w:hAnsi="Calibri"/>
                <w:color w:val="000000"/>
                <w:sz w:val="18"/>
                <w:szCs w:val="18"/>
              </w:rPr>
              <w:t>0.82%</w:t>
            </w:r>
          </w:p>
        </w:tc>
        <w:tc>
          <w:tcPr>
            <w:tcW w:w="1078" w:type="dxa"/>
            <w:vAlign w:val="center"/>
          </w:tcPr>
          <w:p w:rsidR="001F7A12" w:rsidRPr="001F7A12" w:rsidRDefault="001F7A12">
            <w:pPr>
              <w:jc w:val="right"/>
              <w:rPr>
                <w:rFonts w:ascii="Calibri" w:hAnsi="Calibri"/>
                <w:color w:val="000000"/>
                <w:sz w:val="18"/>
                <w:szCs w:val="18"/>
              </w:rPr>
            </w:pPr>
            <w:r w:rsidRPr="001F7A12">
              <w:rPr>
                <w:rFonts w:ascii="Calibri" w:hAnsi="Calibri"/>
                <w:color w:val="000000"/>
                <w:sz w:val="18"/>
                <w:szCs w:val="18"/>
              </w:rPr>
              <w:t>3.74%</w:t>
            </w:r>
          </w:p>
        </w:tc>
        <w:tc>
          <w:tcPr>
            <w:tcW w:w="236" w:type="dxa"/>
          </w:tcPr>
          <w:p w:rsidR="001F7A12" w:rsidRPr="006B31B1" w:rsidRDefault="001F7A12" w:rsidP="00E759EB">
            <w:pPr>
              <w:rPr>
                <w:rFonts w:ascii="Calibri" w:hAnsi="Calibri"/>
                <w:color w:val="000000"/>
                <w:sz w:val="18"/>
              </w:rPr>
            </w:pPr>
          </w:p>
        </w:tc>
        <w:tc>
          <w:tcPr>
            <w:tcW w:w="1077" w:type="dxa"/>
            <w:vAlign w:val="center"/>
          </w:tcPr>
          <w:p w:rsidR="001F7A12" w:rsidRPr="001F7A12" w:rsidRDefault="001F7A12">
            <w:pPr>
              <w:jc w:val="right"/>
              <w:rPr>
                <w:rFonts w:ascii="Calibri" w:hAnsi="Calibri"/>
                <w:color w:val="000000"/>
                <w:sz w:val="18"/>
                <w:szCs w:val="18"/>
              </w:rPr>
            </w:pPr>
            <w:r w:rsidRPr="001F7A12">
              <w:rPr>
                <w:rFonts w:ascii="Calibri" w:hAnsi="Calibri"/>
                <w:color w:val="000000"/>
                <w:sz w:val="18"/>
                <w:szCs w:val="18"/>
              </w:rPr>
              <w:t>21.02%</w:t>
            </w:r>
          </w:p>
        </w:tc>
        <w:tc>
          <w:tcPr>
            <w:tcW w:w="1077" w:type="dxa"/>
            <w:vAlign w:val="center"/>
          </w:tcPr>
          <w:p w:rsidR="001F7A12" w:rsidRPr="001F7A12" w:rsidRDefault="001F7A12">
            <w:pPr>
              <w:jc w:val="right"/>
              <w:rPr>
                <w:rFonts w:ascii="Calibri" w:hAnsi="Calibri"/>
                <w:color w:val="000000"/>
                <w:sz w:val="18"/>
                <w:szCs w:val="18"/>
              </w:rPr>
            </w:pPr>
            <w:r w:rsidRPr="001F7A12">
              <w:rPr>
                <w:rFonts w:ascii="Calibri" w:hAnsi="Calibri"/>
                <w:color w:val="000000"/>
                <w:sz w:val="18"/>
                <w:szCs w:val="18"/>
              </w:rPr>
              <w:t>16.38%</w:t>
            </w:r>
          </w:p>
        </w:tc>
        <w:tc>
          <w:tcPr>
            <w:tcW w:w="1077" w:type="dxa"/>
            <w:vAlign w:val="center"/>
          </w:tcPr>
          <w:p w:rsidR="001F7A12" w:rsidRPr="001F7A12" w:rsidRDefault="001F7A12">
            <w:pPr>
              <w:jc w:val="right"/>
              <w:rPr>
                <w:rFonts w:ascii="Calibri" w:hAnsi="Calibri"/>
                <w:color w:val="000000"/>
                <w:sz w:val="18"/>
                <w:szCs w:val="18"/>
              </w:rPr>
            </w:pPr>
            <w:r w:rsidRPr="001F7A12">
              <w:rPr>
                <w:rFonts w:ascii="Calibri" w:hAnsi="Calibri"/>
                <w:color w:val="000000"/>
                <w:sz w:val="18"/>
                <w:szCs w:val="18"/>
              </w:rPr>
              <w:t>0.52%</w:t>
            </w:r>
          </w:p>
        </w:tc>
        <w:tc>
          <w:tcPr>
            <w:tcW w:w="1078" w:type="dxa"/>
            <w:gridSpan w:val="2"/>
            <w:vAlign w:val="center"/>
          </w:tcPr>
          <w:p w:rsidR="001F7A12" w:rsidRPr="001F7A12" w:rsidRDefault="001F7A12">
            <w:pPr>
              <w:jc w:val="right"/>
              <w:rPr>
                <w:rFonts w:ascii="Calibri" w:hAnsi="Calibri"/>
                <w:color w:val="000000"/>
                <w:sz w:val="18"/>
                <w:szCs w:val="18"/>
              </w:rPr>
            </w:pPr>
            <w:r w:rsidRPr="001F7A12">
              <w:rPr>
                <w:rFonts w:ascii="Calibri" w:hAnsi="Calibri"/>
                <w:color w:val="000000"/>
                <w:sz w:val="18"/>
                <w:szCs w:val="18"/>
              </w:rPr>
              <w:t>4.00%</w:t>
            </w:r>
          </w:p>
        </w:tc>
      </w:tr>
      <w:tr w:rsidR="001F7A12" w:rsidRPr="00ED504D" w:rsidTr="006C43BF">
        <w:trPr>
          <w:trHeight w:val="254"/>
          <w:jc w:val="center"/>
        </w:trPr>
        <w:tc>
          <w:tcPr>
            <w:tcW w:w="1134" w:type="dxa"/>
            <w:vMerge w:val="restart"/>
            <w:vAlign w:val="center"/>
          </w:tcPr>
          <w:p w:rsidR="001F7A12" w:rsidRPr="00ED504D" w:rsidRDefault="001F7A12" w:rsidP="006C43BF">
            <w:pPr>
              <w:rPr>
                <w:rFonts w:ascii="Calibri" w:hAnsi="Calibri"/>
                <w:color w:val="000000"/>
                <w:sz w:val="18"/>
                <w:szCs w:val="20"/>
              </w:rPr>
            </w:pPr>
            <w:r w:rsidRPr="00ED504D">
              <w:rPr>
                <w:rFonts w:ascii="Calibri" w:hAnsi="Calibri"/>
                <w:color w:val="000000"/>
                <w:sz w:val="18"/>
                <w:szCs w:val="20"/>
              </w:rPr>
              <w:t>Italy</w:t>
            </w:r>
          </w:p>
        </w:tc>
        <w:tc>
          <w:tcPr>
            <w:tcW w:w="236" w:type="dxa"/>
          </w:tcPr>
          <w:p w:rsidR="001F7A12" w:rsidRPr="00ED504D" w:rsidRDefault="001F7A12" w:rsidP="00E759EB">
            <w:pPr>
              <w:jc w:val="center"/>
              <w:rPr>
                <w:sz w:val="18"/>
                <w:szCs w:val="20"/>
              </w:rPr>
            </w:pPr>
          </w:p>
        </w:tc>
        <w:tc>
          <w:tcPr>
            <w:tcW w:w="1077" w:type="dxa"/>
            <w:vAlign w:val="center"/>
          </w:tcPr>
          <w:p w:rsidR="001F7A12" w:rsidRPr="001F7A12" w:rsidRDefault="001F7A12">
            <w:pPr>
              <w:rPr>
                <w:rFonts w:ascii="Calibri" w:hAnsi="Calibri"/>
                <w:b/>
                <w:bCs/>
                <w:color w:val="FF0000"/>
                <w:sz w:val="18"/>
                <w:szCs w:val="20"/>
              </w:rPr>
            </w:pPr>
            <w:r w:rsidRPr="001F7A12">
              <w:rPr>
                <w:rFonts w:ascii="Calibri" w:hAnsi="Calibri"/>
                <w:b/>
                <w:bCs/>
                <w:color w:val="FF0000"/>
                <w:sz w:val="18"/>
                <w:szCs w:val="20"/>
              </w:rPr>
              <w:t>-1.045 ***</w:t>
            </w:r>
          </w:p>
        </w:tc>
        <w:tc>
          <w:tcPr>
            <w:tcW w:w="1077" w:type="dxa"/>
            <w:vAlign w:val="center"/>
          </w:tcPr>
          <w:p w:rsidR="001F7A12" w:rsidRPr="001F7A12" w:rsidRDefault="001F7A12">
            <w:pPr>
              <w:rPr>
                <w:rFonts w:ascii="Calibri" w:hAnsi="Calibri"/>
                <w:b/>
                <w:bCs/>
                <w:color w:val="FF0000"/>
                <w:sz w:val="18"/>
                <w:szCs w:val="20"/>
              </w:rPr>
            </w:pPr>
            <w:r w:rsidRPr="001F7A12">
              <w:rPr>
                <w:rFonts w:ascii="Calibri" w:hAnsi="Calibri"/>
                <w:b/>
                <w:bCs/>
                <w:color w:val="FF0000"/>
                <w:sz w:val="18"/>
                <w:szCs w:val="20"/>
              </w:rPr>
              <w:t>-0.616 ***</w:t>
            </w:r>
          </w:p>
        </w:tc>
        <w:tc>
          <w:tcPr>
            <w:tcW w:w="1077" w:type="dxa"/>
            <w:vAlign w:val="center"/>
          </w:tcPr>
          <w:p w:rsidR="001F7A12" w:rsidRPr="001F7A12" w:rsidRDefault="001F7A12">
            <w:pPr>
              <w:rPr>
                <w:rFonts w:ascii="Calibri" w:hAnsi="Calibri"/>
                <w:color w:val="000000"/>
                <w:sz w:val="18"/>
                <w:szCs w:val="20"/>
              </w:rPr>
            </w:pPr>
            <w:r w:rsidRPr="001F7A12">
              <w:rPr>
                <w:rFonts w:ascii="Calibri" w:hAnsi="Calibri"/>
                <w:color w:val="000000"/>
                <w:sz w:val="18"/>
                <w:szCs w:val="20"/>
              </w:rPr>
              <w:t>-0.463</w:t>
            </w:r>
          </w:p>
        </w:tc>
        <w:tc>
          <w:tcPr>
            <w:tcW w:w="1078" w:type="dxa"/>
            <w:vAlign w:val="center"/>
          </w:tcPr>
          <w:p w:rsidR="001F7A12" w:rsidRPr="001F7A12" w:rsidRDefault="001F7A12">
            <w:pPr>
              <w:rPr>
                <w:rFonts w:ascii="Calibri" w:hAnsi="Calibri"/>
                <w:color w:val="000000"/>
                <w:sz w:val="18"/>
                <w:szCs w:val="20"/>
              </w:rPr>
            </w:pPr>
            <w:r w:rsidRPr="001F7A12">
              <w:rPr>
                <w:rFonts w:ascii="Calibri" w:hAnsi="Calibri"/>
                <w:color w:val="000000"/>
                <w:sz w:val="18"/>
                <w:szCs w:val="20"/>
              </w:rPr>
              <w:t>-0.643</w:t>
            </w:r>
          </w:p>
        </w:tc>
        <w:tc>
          <w:tcPr>
            <w:tcW w:w="236" w:type="dxa"/>
          </w:tcPr>
          <w:p w:rsidR="001F7A12" w:rsidRPr="00ED504D" w:rsidRDefault="001F7A12" w:rsidP="00E759EB">
            <w:pPr>
              <w:rPr>
                <w:rFonts w:ascii="Calibri" w:hAnsi="Calibri"/>
                <w:color w:val="000000"/>
                <w:sz w:val="18"/>
              </w:rPr>
            </w:pPr>
          </w:p>
        </w:tc>
        <w:tc>
          <w:tcPr>
            <w:tcW w:w="1077" w:type="dxa"/>
            <w:vAlign w:val="center"/>
          </w:tcPr>
          <w:p w:rsidR="001F7A12" w:rsidRPr="001F7A12" w:rsidRDefault="001F7A12">
            <w:pPr>
              <w:rPr>
                <w:rFonts w:ascii="Calibri" w:hAnsi="Calibri"/>
                <w:b/>
                <w:bCs/>
                <w:color w:val="FF0000"/>
                <w:sz w:val="18"/>
                <w:szCs w:val="20"/>
              </w:rPr>
            </w:pPr>
            <w:r w:rsidRPr="001F7A12">
              <w:rPr>
                <w:rFonts w:ascii="Calibri" w:hAnsi="Calibri"/>
                <w:b/>
                <w:bCs/>
                <w:color w:val="FF0000"/>
                <w:sz w:val="18"/>
                <w:szCs w:val="20"/>
              </w:rPr>
              <w:t>-2.482 ***</w:t>
            </w:r>
          </w:p>
        </w:tc>
        <w:tc>
          <w:tcPr>
            <w:tcW w:w="1077" w:type="dxa"/>
            <w:vAlign w:val="center"/>
          </w:tcPr>
          <w:p w:rsidR="001F7A12" w:rsidRPr="001F7A12" w:rsidRDefault="001F7A12">
            <w:pPr>
              <w:rPr>
                <w:rFonts w:ascii="Calibri" w:hAnsi="Calibri"/>
                <w:b/>
                <w:bCs/>
                <w:color w:val="FF0000"/>
                <w:sz w:val="18"/>
                <w:szCs w:val="20"/>
              </w:rPr>
            </w:pPr>
            <w:r w:rsidRPr="001F7A12">
              <w:rPr>
                <w:rFonts w:ascii="Calibri" w:hAnsi="Calibri"/>
                <w:b/>
                <w:bCs/>
                <w:color w:val="FF0000"/>
                <w:sz w:val="18"/>
                <w:szCs w:val="20"/>
              </w:rPr>
              <w:t>-1.355 ***</w:t>
            </w:r>
          </w:p>
        </w:tc>
        <w:tc>
          <w:tcPr>
            <w:tcW w:w="1077" w:type="dxa"/>
            <w:vAlign w:val="center"/>
          </w:tcPr>
          <w:p w:rsidR="001F7A12" w:rsidRPr="001F7A12" w:rsidRDefault="001F7A12">
            <w:pPr>
              <w:rPr>
                <w:rFonts w:ascii="Calibri" w:hAnsi="Calibri"/>
                <w:b/>
                <w:bCs/>
                <w:color w:val="548DD4"/>
                <w:sz w:val="18"/>
                <w:szCs w:val="20"/>
              </w:rPr>
            </w:pPr>
            <w:r w:rsidRPr="001F7A12">
              <w:rPr>
                <w:rFonts w:ascii="Calibri" w:hAnsi="Calibri"/>
                <w:b/>
                <w:bCs/>
                <w:color w:val="548DD4"/>
                <w:sz w:val="18"/>
                <w:szCs w:val="20"/>
              </w:rPr>
              <w:t>0.814 ***</w:t>
            </w:r>
          </w:p>
        </w:tc>
        <w:tc>
          <w:tcPr>
            <w:tcW w:w="1078" w:type="dxa"/>
            <w:vAlign w:val="center"/>
          </w:tcPr>
          <w:p w:rsidR="001F7A12" w:rsidRPr="001F7A12" w:rsidRDefault="001F7A12">
            <w:pPr>
              <w:rPr>
                <w:rFonts w:ascii="Calibri" w:hAnsi="Calibri"/>
                <w:b/>
                <w:bCs/>
                <w:color w:val="548DD4"/>
                <w:sz w:val="18"/>
                <w:szCs w:val="20"/>
              </w:rPr>
            </w:pPr>
            <w:r w:rsidRPr="001F7A12">
              <w:rPr>
                <w:rFonts w:ascii="Calibri" w:hAnsi="Calibri"/>
                <w:b/>
                <w:bCs/>
                <w:color w:val="548DD4"/>
                <w:sz w:val="18"/>
                <w:szCs w:val="20"/>
              </w:rPr>
              <w:t>1.664 ***</w:t>
            </w:r>
          </w:p>
        </w:tc>
        <w:tc>
          <w:tcPr>
            <w:tcW w:w="236" w:type="dxa"/>
          </w:tcPr>
          <w:p w:rsidR="001F7A12" w:rsidRPr="00ED504D" w:rsidRDefault="001F7A12" w:rsidP="00E759EB">
            <w:pPr>
              <w:rPr>
                <w:rFonts w:ascii="Calibri" w:hAnsi="Calibri"/>
                <w:color w:val="000000"/>
                <w:sz w:val="18"/>
              </w:rPr>
            </w:pPr>
          </w:p>
        </w:tc>
        <w:tc>
          <w:tcPr>
            <w:tcW w:w="1077" w:type="dxa"/>
            <w:vAlign w:val="center"/>
          </w:tcPr>
          <w:p w:rsidR="001F7A12" w:rsidRPr="001F7A12" w:rsidRDefault="001F7A12">
            <w:pPr>
              <w:rPr>
                <w:rFonts w:ascii="Calibri" w:hAnsi="Calibri"/>
                <w:b/>
                <w:bCs/>
                <w:color w:val="FF0000"/>
                <w:sz w:val="18"/>
                <w:szCs w:val="20"/>
              </w:rPr>
            </w:pPr>
            <w:r w:rsidRPr="001F7A12">
              <w:rPr>
                <w:rFonts w:ascii="Calibri" w:hAnsi="Calibri"/>
                <w:b/>
                <w:bCs/>
                <w:color w:val="FF0000"/>
                <w:sz w:val="18"/>
                <w:szCs w:val="20"/>
              </w:rPr>
              <w:t>-1.964 ***</w:t>
            </w:r>
          </w:p>
        </w:tc>
        <w:tc>
          <w:tcPr>
            <w:tcW w:w="1077" w:type="dxa"/>
            <w:vAlign w:val="center"/>
          </w:tcPr>
          <w:p w:rsidR="001F7A12" w:rsidRPr="001F7A12" w:rsidRDefault="001F7A12">
            <w:pPr>
              <w:rPr>
                <w:rFonts w:ascii="Calibri" w:hAnsi="Calibri"/>
                <w:b/>
                <w:bCs/>
                <w:color w:val="FF0000"/>
                <w:sz w:val="18"/>
                <w:szCs w:val="20"/>
              </w:rPr>
            </w:pPr>
            <w:r w:rsidRPr="001F7A12">
              <w:rPr>
                <w:rFonts w:ascii="Calibri" w:hAnsi="Calibri"/>
                <w:b/>
                <w:bCs/>
                <w:color w:val="FF0000"/>
                <w:sz w:val="18"/>
                <w:szCs w:val="20"/>
              </w:rPr>
              <w:t>-1.196 ***</w:t>
            </w:r>
          </w:p>
        </w:tc>
        <w:tc>
          <w:tcPr>
            <w:tcW w:w="1077" w:type="dxa"/>
            <w:vAlign w:val="center"/>
          </w:tcPr>
          <w:p w:rsidR="001F7A12" w:rsidRPr="001F7A12" w:rsidRDefault="001F7A12">
            <w:pPr>
              <w:rPr>
                <w:rFonts w:ascii="Calibri" w:hAnsi="Calibri"/>
                <w:b/>
                <w:bCs/>
                <w:color w:val="548DD4"/>
                <w:sz w:val="18"/>
                <w:szCs w:val="20"/>
              </w:rPr>
            </w:pPr>
            <w:r w:rsidRPr="001F7A12">
              <w:rPr>
                <w:rFonts w:ascii="Calibri" w:hAnsi="Calibri"/>
                <w:b/>
                <w:bCs/>
                <w:color w:val="548DD4"/>
                <w:sz w:val="18"/>
                <w:szCs w:val="20"/>
              </w:rPr>
              <w:t>0.907 ***</w:t>
            </w:r>
          </w:p>
        </w:tc>
        <w:tc>
          <w:tcPr>
            <w:tcW w:w="1078" w:type="dxa"/>
            <w:gridSpan w:val="2"/>
            <w:vAlign w:val="center"/>
          </w:tcPr>
          <w:p w:rsidR="001F7A12" w:rsidRPr="001F7A12" w:rsidRDefault="001F7A12">
            <w:pPr>
              <w:rPr>
                <w:rFonts w:ascii="Calibri" w:hAnsi="Calibri"/>
                <w:b/>
                <w:bCs/>
                <w:color w:val="548DD4"/>
                <w:sz w:val="18"/>
                <w:szCs w:val="20"/>
              </w:rPr>
            </w:pPr>
            <w:r w:rsidRPr="001F7A12">
              <w:rPr>
                <w:rFonts w:ascii="Calibri" w:hAnsi="Calibri"/>
                <w:b/>
                <w:bCs/>
                <w:color w:val="548DD4"/>
                <w:sz w:val="18"/>
                <w:szCs w:val="20"/>
              </w:rPr>
              <w:t>1.809 ***</w:t>
            </w:r>
          </w:p>
        </w:tc>
      </w:tr>
      <w:tr w:rsidR="001F7A12" w:rsidRPr="00ED504D" w:rsidTr="006C43BF">
        <w:trPr>
          <w:trHeight w:val="254"/>
          <w:jc w:val="center"/>
        </w:trPr>
        <w:tc>
          <w:tcPr>
            <w:tcW w:w="1134" w:type="dxa"/>
            <w:vMerge/>
            <w:vAlign w:val="center"/>
          </w:tcPr>
          <w:p w:rsidR="001F7A12" w:rsidRPr="00ED504D" w:rsidRDefault="001F7A12" w:rsidP="006C43BF">
            <w:pPr>
              <w:rPr>
                <w:rFonts w:ascii="Calibri" w:hAnsi="Calibri"/>
                <w:color w:val="000000"/>
                <w:sz w:val="18"/>
                <w:szCs w:val="20"/>
              </w:rPr>
            </w:pPr>
          </w:p>
        </w:tc>
        <w:tc>
          <w:tcPr>
            <w:tcW w:w="236" w:type="dxa"/>
          </w:tcPr>
          <w:p w:rsidR="001F7A12" w:rsidRPr="00ED504D" w:rsidRDefault="001F7A12" w:rsidP="00E759EB">
            <w:pPr>
              <w:jc w:val="center"/>
              <w:rPr>
                <w:sz w:val="18"/>
                <w:szCs w:val="20"/>
              </w:rPr>
            </w:pPr>
          </w:p>
        </w:tc>
        <w:tc>
          <w:tcPr>
            <w:tcW w:w="1077" w:type="dxa"/>
            <w:vAlign w:val="center"/>
          </w:tcPr>
          <w:p w:rsidR="001F7A12" w:rsidRPr="001F7A12" w:rsidRDefault="001F7A12">
            <w:pPr>
              <w:jc w:val="right"/>
              <w:rPr>
                <w:rFonts w:ascii="Calibri" w:hAnsi="Calibri"/>
                <w:color w:val="000000"/>
                <w:sz w:val="18"/>
                <w:szCs w:val="18"/>
              </w:rPr>
            </w:pPr>
            <w:r w:rsidRPr="001F7A12">
              <w:rPr>
                <w:rFonts w:ascii="Calibri" w:hAnsi="Calibri"/>
                <w:color w:val="000000"/>
                <w:sz w:val="18"/>
                <w:szCs w:val="18"/>
              </w:rPr>
              <w:t>2.92%</w:t>
            </w:r>
          </w:p>
        </w:tc>
        <w:tc>
          <w:tcPr>
            <w:tcW w:w="1077" w:type="dxa"/>
            <w:vAlign w:val="center"/>
          </w:tcPr>
          <w:p w:rsidR="001F7A12" w:rsidRPr="001F7A12" w:rsidRDefault="001F7A12">
            <w:pPr>
              <w:jc w:val="right"/>
              <w:rPr>
                <w:rFonts w:ascii="Calibri" w:hAnsi="Calibri"/>
                <w:color w:val="000000"/>
                <w:sz w:val="18"/>
                <w:szCs w:val="18"/>
              </w:rPr>
            </w:pPr>
            <w:r w:rsidRPr="001F7A12">
              <w:rPr>
                <w:rFonts w:ascii="Calibri" w:hAnsi="Calibri"/>
                <w:color w:val="000000"/>
                <w:sz w:val="18"/>
                <w:szCs w:val="18"/>
              </w:rPr>
              <w:t>1.75%</w:t>
            </w:r>
          </w:p>
        </w:tc>
        <w:tc>
          <w:tcPr>
            <w:tcW w:w="1077" w:type="dxa"/>
            <w:vAlign w:val="center"/>
          </w:tcPr>
          <w:p w:rsidR="001F7A12" w:rsidRPr="001F7A12" w:rsidRDefault="001F7A12">
            <w:pPr>
              <w:jc w:val="right"/>
              <w:rPr>
                <w:rFonts w:ascii="Calibri" w:hAnsi="Calibri"/>
                <w:color w:val="000000"/>
                <w:sz w:val="18"/>
                <w:szCs w:val="18"/>
              </w:rPr>
            </w:pPr>
            <w:r w:rsidRPr="001F7A12">
              <w:rPr>
                <w:rFonts w:ascii="Calibri" w:hAnsi="Calibri"/>
                <w:color w:val="000000"/>
                <w:sz w:val="18"/>
                <w:szCs w:val="18"/>
              </w:rPr>
              <w:t>0.06%</w:t>
            </w:r>
          </w:p>
        </w:tc>
        <w:tc>
          <w:tcPr>
            <w:tcW w:w="1078" w:type="dxa"/>
            <w:vAlign w:val="center"/>
          </w:tcPr>
          <w:p w:rsidR="001F7A12" w:rsidRPr="001F7A12" w:rsidRDefault="001F7A12">
            <w:pPr>
              <w:jc w:val="right"/>
              <w:rPr>
                <w:rFonts w:ascii="Calibri" w:hAnsi="Calibri"/>
                <w:color w:val="000000"/>
                <w:sz w:val="18"/>
                <w:szCs w:val="18"/>
              </w:rPr>
            </w:pPr>
            <w:r w:rsidRPr="001F7A12">
              <w:rPr>
                <w:rFonts w:ascii="Calibri" w:hAnsi="Calibri"/>
                <w:color w:val="000000"/>
                <w:sz w:val="18"/>
                <w:szCs w:val="18"/>
              </w:rPr>
              <w:t>0.06%</w:t>
            </w:r>
          </w:p>
        </w:tc>
        <w:tc>
          <w:tcPr>
            <w:tcW w:w="236" w:type="dxa"/>
          </w:tcPr>
          <w:p w:rsidR="001F7A12" w:rsidRPr="006B31B1" w:rsidRDefault="001F7A12" w:rsidP="00E759EB">
            <w:pPr>
              <w:rPr>
                <w:rFonts w:ascii="Calibri" w:hAnsi="Calibri"/>
                <w:color w:val="000000"/>
                <w:sz w:val="18"/>
              </w:rPr>
            </w:pPr>
          </w:p>
        </w:tc>
        <w:tc>
          <w:tcPr>
            <w:tcW w:w="1077" w:type="dxa"/>
            <w:vAlign w:val="center"/>
          </w:tcPr>
          <w:p w:rsidR="001F7A12" w:rsidRPr="001F7A12" w:rsidRDefault="001F7A12">
            <w:pPr>
              <w:jc w:val="right"/>
              <w:rPr>
                <w:rFonts w:ascii="Calibri" w:hAnsi="Calibri"/>
                <w:color w:val="000000"/>
                <w:sz w:val="18"/>
                <w:szCs w:val="18"/>
              </w:rPr>
            </w:pPr>
            <w:r w:rsidRPr="001F7A12">
              <w:rPr>
                <w:rFonts w:ascii="Calibri" w:hAnsi="Calibri"/>
                <w:color w:val="000000"/>
                <w:sz w:val="18"/>
                <w:szCs w:val="18"/>
              </w:rPr>
              <w:t>28.80%</w:t>
            </w:r>
          </w:p>
        </w:tc>
        <w:tc>
          <w:tcPr>
            <w:tcW w:w="1077" w:type="dxa"/>
            <w:vAlign w:val="center"/>
          </w:tcPr>
          <w:p w:rsidR="001F7A12" w:rsidRPr="001F7A12" w:rsidRDefault="001F7A12">
            <w:pPr>
              <w:jc w:val="right"/>
              <w:rPr>
                <w:rFonts w:ascii="Calibri" w:hAnsi="Calibri"/>
                <w:color w:val="000000"/>
                <w:sz w:val="18"/>
                <w:szCs w:val="18"/>
              </w:rPr>
            </w:pPr>
            <w:r w:rsidRPr="001F7A12">
              <w:rPr>
                <w:rFonts w:ascii="Calibri" w:hAnsi="Calibri"/>
                <w:color w:val="000000"/>
                <w:sz w:val="18"/>
                <w:szCs w:val="18"/>
              </w:rPr>
              <w:t>15.21%</w:t>
            </w:r>
          </w:p>
        </w:tc>
        <w:tc>
          <w:tcPr>
            <w:tcW w:w="1077" w:type="dxa"/>
            <w:vAlign w:val="center"/>
          </w:tcPr>
          <w:p w:rsidR="001F7A12" w:rsidRPr="001F7A12" w:rsidRDefault="001F7A12">
            <w:pPr>
              <w:jc w:val="right"/>
              <w:rPr>
                <w:rFonts w:ascii="Calibri" w:hAnsi="Calibri"/>
                <w:color w:val="000000"/>
                <w:sz w:val="18"/>
                <w:szCs w:val="18"/>
              </w:rPr>
            </w:pPr>
            <w:r w:rsidRPr="001F7A12">
              <w:rPr>
                <w:rFonts w:ascii="Calibri" w:hAnsi="Calibri"/>
                <w:color w:val="000000"/>
                <w:sz w:val="18"/>
                <w:szCs w:val="18"/>
              </w:rPr>
              <w:t>1.20%</w:t>
            </w:r>
          </w:p>
        </w:tc>
        <w:tc>
          <w:tcPr>
            <w:tcW w:w="1078" w:type="dxa"/>
            <w:vAlign w:val="center"/>
          </w:tcPr>
          <w:p w:rsidR="001F7A12" w:rsidRPr="001F7A12" w:rsidRDefault="001F7A12">
            <w:pPr>
              <w:jc w:val="right"/>
              <w:rPr>
                <w:rFonts w:ascii="Calibri" w:hAnsi="Calibri"/>
                <w:color w:val="000000"/>
                <w:sz w:val="18"/>
                <w:szCs w:val="18"/>
              </w:rPr>
            </w:pPr>
            <w:r w:rsidRPr="001F7A12">
              <w:rPr>
                <w:rFonts w:ascii="Calibri" w:hAnsi="Calibri"/>
                <w:color w:val="000000"/>
                <w:sz w:val="18"/>
                <w:szCs w:val="18"/>
              </w:rPr>
              <w:t>2.60%</w:t>
            </w:r>
          </w:p>
        </w:tc>
        <w:tc>
          <w:tcPr>
            <w:tcW w:w="236" w:type="dxa"/>
          </w:tcPr>
          <w:p w:rsidR="001F7A12" w:rsidRPr="006B31B1" w:rsidRDefault="001F7A12" w:rsidP="00E759EB">
            <w:pPr>
              <w:rPr>
                <w:rFonts w:ascii="Calibri" w:hAnsi="Calibri"/>
                <w:color w:val="000000"/>
                <w:sz w:val="18"/>
              </w:rPr>
            </w:pPr>
          </w:p>
        </w:tc>
        <w:tc>
          <w:tcPr>
            <w:tcW w:w="1077" w:type="dxa"/>
            <w:vAlign w:val="center"/>
          </w:tcPr>
          <w:p w:rsidR="001F7A12" w:rsidRPr="001F7A12" w:rsidRDefault="001F7A12">
            <w:pPr>
              <w:jc w:val="right"/>
              <w:rPr>
                <w:rFonts w:ascii="Calibri" w:hAnsi="Calibri"/>
                <w:color w:val="000000"/>
                <w:sz w:val="18"/>
                <w:szCs w:val="18"/>
              </w:rPr>
            </w:pPr>
            <w:r w:rsidRPr="001F7A12">
              <w:rPr>
                <w:rFonts w:ascii="Calibri" w:hAnsi="Calibri"/>
                <w:color w:val="000000"/>
                <w:sz w:val="18"/>
                <w:szCs w:val="18"/>
              </w:rPr>
              <w:t>17.24%</w:t>
            </w:r>
          </w:p>
        </w:tc>
        <w:tc>
          <w:tcPr>
            <w:tcW w:w="1077" w:type="dxa"/>
            <w:vAlign w:val="center"/>
          </w:tcPr>
          <w:p w:rsidR="001F7A12" w:rsidRPr="001F7A12" w:rsidRDefault="001F7A12">
            <w:pPr>
              <w:jc w:val="right"/>
              <w:rPr>
                <w:rFonts w:ascii="Calibri" w:hAnsi="Calibri"/>
                <w:color w:val="000000"/>
                <w:sz w:val="18"/>
                <w:szCs w:val="18"/>
              </w:rPr>
            </w:pPr>
            <w:r w:rsidRPr="001F7A12">
              <w:rPr>
                <w:rFonts w:ascii="Calibri" w:hAnsi="Calibri"/>
                <w:color w:val="000000"/>
                <w:sz w:val="18"/>
                <w:szCs w:val="18"/>
              </w:rPr>
              <w:t>10.35%</w:t>
            </w:r>
          </w:p>
        </w:tc>
        <w:tc>
          <w:tcPr>
            <w:tcW w:w="1077" w:type="dxa"/>
            <w:vAlign w:val="center"/>
          </w:tcPr>
          <w:p w:rsidR="001F7A12" w:rsidRPr="001F7A12" w:rsidRDefault="001F7A12">
            <w:pPr>
              <w:jc w:val="right"/>
              <w:rPr>
                <w:rFonts w:ascii="Calibri" w:hAnsi="Calibri"/>
                <w:color w:val="000000"/>
                <w:sz w:val="18"/>
                <w:szCs w:val="18"/>
              </w:rPr>
            </w:pPr>
            <w:r w:rsidRPr="001F7A12">
              <w:rPr>
                <w:rFonts w:ascii="Calibri" w:hAnsi="Calibri"/>
                <w:color w:val="000000"/>
                <w:sz w:val="18"/>
                <w:szCs w:val="18"/>
              </w:rPr>
              <w:t>1.51%</w:t>
            </w:r>
          </w:p>
        </w:tc>
        <w:tc>
          <w:tcPr>
            <w:tcW w:w="1078" w:type="dxa"/>
            <w:gridSpan w:val="2"/>
            <w:vAlign w:val="center"/>
          </w:tcPr>
          <w:p w:rsidR="001F7A12" w:rsidRPr="001F7A12" w:rsidRDefault="001F7A12">
            <w:pPr>
              <w:jc w:val="right"/>
              <w:rPr>
                <w:rFonts w:ascii="Calibri" w:hAnsi="Calibri"/>
                <w:color w:val="000000"/>
                <w:sz w:val="18"/>
                <w:szCs w:val="18"/>
              </w:rPr>
            </w:pPr>
            <w:r w:rsidRPr="001F7A12">
              <w:rPr>
                <w:rFonts w:ascii="Calibri" w:hAnsi="Calibri"/>
                <w:color w:val="000000"/>
                <w:sz w:val="18"/>
                <w:szCs w:val="18"/>
              </w:rPr>
              <w:t>3.05%</w:t>
            </w:r>
          </w:p>
        </w:tc>
      </w:tr>
      <w:tr w:rsidR="001F7A12" w:rsidRPr="00ED504D" w:rsidTr="006C43BF">
        <w:trPr>
          <w:trHeight w:val="254"/>
          <w:jc w:val="center"/>
        </w:trPr>
        <w:tc>
          <w:tcPr>
            <w:tcW w:w="1134" w:type="dxa"/>
            <w:vMerge w:val="restart"/>
            <w:vAlign w:val="center"/>
          </w:tcPr>
          <w:p w:rsidR="001F7A12" w:rsidRPr="00ED504D" w:rsidRDefault="001F7A12" w:rsidP="006C43BF">
            <w:pPr>
              <w:rPr>
                <w:rFonts w:ascii="Calibri" w:hAnsi="Calibri"/>
                <w:color w:val="000000"/>
                <w:sz w:val="18"/>
                <w:szCs w:val="20"/>
              </w:rPr>
            </w:pPr>
            <w:r w:rsidRPr="00ED504D">
              <w:rPr>
                <w:rFonts w:ascii="Calibri" w:hAnsi="Calibri"/>
                <w:color w:val="000000"/>
                <w:sz w:val="18"/>
                <w:szCs w:val="20"/>
              </w:rPr>
              <w:t>Spain</w:t>
            </w:r>
          </w:p>
        </w:tc>
        <w:tc>
          <w:tcPr>
            <w:tcW w:w="236" w:type="dxa"/>
          </w:tcPr>
          <w:p w:rsidR="001F7A12" w:rsidRPr="00ED504D" w:rsidRDefault="001F7A12" w:rsidP="00E759EB">
            <w:pPr>
              <w:jc w:val="center"/>
              <w:rPr>
                <w:sz w:val="18"/>
                <w:szCs w:val="20"/>
              </w:rPr>
            </w:pPr>
          </w:p>
        </w:tc>
        <w:tc>
          <w:tcPr>
            <w:tcW w:w="1077" w:type="dxa"/>
            <w:vAlign w:val="center"/>
          </w:tcPr>
          <w:p w:rsidR="001F7A12" w:rsidRPr="001F7A12" w:rsidRDefault="001F7A12">
            <w:pPr>
              <w:rPr>
                <w:rFonts w:ascii="Calibri" w:hAnsi="Calibri"/>
                <w:b/>
                <w:bCs/>
                <w:color w:val="FF0000"/>
                <w:sz w:val="18"/>
                <w:szCs w:val="20"/>
              </w:rPr>
            </w:pPr>
            <w:r w:rsidRPr="001F7A12">
              <w:rPr>
                <w:rFonts w:ascii="Calibri" w:hAnsi="Calibri"/>
                <w:b/>
                <w:bCs/>
                <w:color w:val="FF0000"/>
                <w:sz w:val="18"/>
                <w:szCs w:val="20"/>
              </w:rPr>
              <w:t>-1.140 ***</w:t>
            </w:r>
          </w:p>
        </w:tc>
        <w:tc>
          <w:tcPr>
            <w:tcW w:w="1077" w:type="dxa"/>
            <w:vAlign w:val="center"/>
          </w:tcPr>
          <w:p w:rsidR="001F7A12" w:rsidRPr="001F7A12" w:rsidRDefault="001F7A12">
            <w:pPr>
              <w:rPr>
                <w:rFonts w:ascii="Calibri" w:hAnsi="Calibri"/>
                <w:b/>
                <w:bCs/>
                <w:color w:val="FF0000"/>
                <w:sz w:val="18"/>
                <w:szCs w:val="20"/>
              </w:rPr>
            </w:pPr>
            <w:r w:rsidRPr="001F7A12">
              <w:rPr>
                <w:rFonts w:ascii="Calibri" w:hAnsi="Calibri"/>
                <w:b/>
                <w:bCs/>
                <w:color w:val="FF0000"/>
                <w:sz w:val="18"/>
                <w:szCs w:val="20"/>
              </w:rPr>
              <w:t>-0.781 ***</w:t>
            </w:r>
          </w:p>
        </w:tc>
        <w:tc>
          <w:tcPr>
            <w:tcW w:w="1077" w:type="dxa"/>
            <w:vAlign w:val="center"/>
          </w:tcPr>
          <w:p w:rsidR="001F7A12" w:rsidRPr="001F7A12" w:rsidRDefault="001F7A12">
            <w:pPr>
              <w:rPr>
                <w:rFonts w:ascii="Calibri" w:hAnsi="Calibri"/>
                <w:color w:val="000000"/>
                <w:sz w:val="18"/>
                <w:szCs w:val="20"/>
              </w:rPr>
            </w:pPr>
            <w:r w:rsidRPr="001F7A12">
              <w:rPr>
                <w:rFonts w:ascii="Calibri" w:hAnsi="Calibri"/>
                <w:color w:val="000000"/>
                <w:sz w:val="18"/>
                <w:szCs w:val="20"/>
              </w:rPr>
              <w:t>-0.465</w:t>
            </w:r>
          </w:p>
        </w:tc>
        <w:tc>
          <w:tcPr>
            <w:tcW w:w="1078" w:type="dxa"/>
            <w:vAlign w:val="center"/>
          </w:tcPr>
          <w:p w:rsidR="001F7A12" w:rsidRPr="001F7A12" w:rsidRDefault="001F7A12">
            <w:pPr>
              <w:rPr>
                <w:rFonts w:ascii="Calibri" w:hAnsi="Calibri"/>
                <w:color w:val="000000"/>
                <w:sz w:val="18"/>
                <w:szCs w:val="20"/>
              </w:rPr>
            </w:pPr>
            <w:r w:rsidRPr="001F7A12">
              <w:rPr>
                <w:rFonts w:ascii="Calibri" w:hAnsi="Calibri"/>
                <w:color w:val="000000"/>
                <w:sz w:val="18"/>
                <w:szCs w:val="20"/>
              </w:rPr>
              <w:t>-0.776</w:t>
            </w:r>
          </w:p>
        </w:tc>
        <w:tc>
          <w:tcPr>
            <w:tcW w:w="236" w:type="dxa"/>
          </w:tcPr>
          <w:p w:rsidR="001F7A12" w:rsidRPr="00ED504D" w:rsidRDefault="001F7A12" w:rsidP="00E759EB">
            <w:pPr>
              <w:rPr>
                <w:rFonts w:ascii="Calibri" w:hAnsi="Calibri"/>
                <w:color w:val="000000"/>
                <w:sz w:val="18"/>
              </w:rPr>
            </w:pPr>
          </w:p>
        </w:tc>
        <w:tc>
          <w:tcPr>
            <w:tcW w:w="1077" w:type="dxa"/>
            <w:vAlign w:val="center"/>
          </w:tcPr>
          <w:p w:rsidR="001F7A12" w:rsidRPr="001F7A12" w:rsidRDefault="001F7A12">
            <w:pPr>
              <w:rPr>
                <w:rFonts w:ascii="Calibri" w:hAnsi="Calibri"/>
                <w:b/>
                <w:bCs/>
                <w:color w:val="FF0000"/>
                <w:sz w:val="18"/>
                <w:szCs w:val="20"/>
              </w:rPr>
            </w:pPr>
            <w:r w:rsidRPr="001F7A12">
              <w:rPr>
                <w:rFonts w:ascii="Calibri" w:hAnsi="Calibri"/>
                <w:b/>
                <w:bCs/>
                <w:color w:val="FF0000"/>
                <w:sz w:val="18"/>
                <w:szCs w:val="20"/>
              </w:rPr>
              <w:t>-2.814 ***</w:t>
            </w:r>
          </w:p>
        </w:tc>
        <w:tc>
          <w:tcPr>
            <w:tcW w:w="1077" w:type="dxa"/>
            <w:vAlign w:val="center"/>
          </w:tcPr>
          <w:p w:rsidR="001F7A12" w:rsidRPr="001F7A12" w:rsidRDefault="001F7A12">
            <w:pPr>
              <w:rPr>
                <w:rFonts w:ascii="Calibri" w:hAnsi="Calibri"/>
                <w:b/>
                <w:bCs/>
                <w:color w:val="FF0000"/>
                <w:sz w:val="18"/>
                <w:szCs w:val="20"/>
              </w:rPr>
            </w:pPr>
            <w:r w:rsidRPr="001F7A12">
              <w:rPr>
                <w:rFonts w:ascii="Calibri" w:hAnsi="Calibri"/>
                <w:b/>
                <w:bCs/>
                <w:color w:val="FF0000"/>
                <w:sz w:val="18"/>
                <w:szCs w:val="20"/>
              </w:rPr>
              <w:t>-1.856 ***</w:t>
            </w:r>
          </w:p>
        </w:tc>
        <w:tc>
          <w:tcPr>
            <w:tcW w:w="1077" w:type="dxa"/>
            <w:vAlign w:val="center"/>
          </w:tcPr>
          <w:p w:rsidR="001F7A12" w:rsidRPr="001F7A12" w:rsidRDefault="001F7A12">
            <w:pPr>
              <w:rPr>
                <w:rFonts w:ascii="Calibri" w:hAnsi="Calibri"/>
                <w:b/>
                <w:bCs/>
                <w:color w:val="548DD4"/>
                <w:sz w:val="18"/>
                <w:szCs w:val="20"/>
              </w:rPr>
            </w:pPr>
            <w:r w:rsidRPr="001F7A12">
              <w:rPr>
                <w:rFonts w:ascii="Calibri" w:hAnsi="Calibri"/>
                <w:b/>
                <w:bCs/>
                <w:color w:val="548DD4"/>
                <w:sz w:val="18"/>
                <w:szCs w:val="20"/>
              </w:rPr>
              <w:t>0.889 ***</w:t>
            </w:r>
          </w:p>
        </w:tc>
        <w:tc>
          <w:tcPr>
            <w:tcW w:w="1078" w:type="dxa"/>
            <w:vAlign w:val="center"/>
          </w:tcPr>
          <w:p w:rsidR="001F7A12" w:rsidRPr="001F7A12" w:rsidRDefault="001F7A12">
            <w:pPr>
              <w:rPr>
                <w:rFonts w:ascii="Calibri" w:hAnsi="Calibri"/>
                <w:b/>
                <w:bCs/>
                <w:color w:val="548DD4"/>
                <w:sz w:val="18"/>
                <w:szCs w:val="20"/>
              </w:rPr>
            </w:pPr>
            <w:r w:rsidRPr="001F7A12">
              <w:rPr>
                <w:rFonts w:ascii="Calibri" w:hAnsi="Calibri"/>
                <w:b/>
                <w:bCs/>
                <w:color w:val="548DD4"/>
                <w:sz w:val="18"/>
                <w:szCs w:val="20"/>
              </w:rPr>
              <w:t>1.669 ***</w:t>
            </w:r>
          </w:p>
        </w:tc>
        <w:tc>
          <w:tcPr>
            <w:tcW w:w="236" w:type="dxa"/>
          </w:tcPr>
          <w:p w:rsidR="001F7A12" w:rsidRPr="00ED504D" w:rsidRDefault="001F7A12" w:rsidP="00E759EB">
            <w:pPr>
              <w:rPr>
                <w:rFonts w:ascii="Calibri" w:hAnsi="Calibri"/>
                <w:color w:val="000000"/>
                <w:sz w:val="18"/>
              </w:rPr>
            </w:pPr>
          </w:p>
        </w:tc>
        <w:tc>
          <w:tcPr>
            <w:tcW w:w="1077" w:type="dxa"/>
            <w:vAlign w:val="center"/>
          </w:tcPr>
          <w:p w:rsidR="001F7A12" w:rsidRPr="001F7A12" w:rsidRDefault="001F7A12">
            <w:pPr>
              <w:rPr>
                <w:rFonts w:ascii="Calibri" w:hAnsi="Calibri"/>
                <w:b/>
                <w:bCs/>
                <w:color w:val="FF0000"/>
                <w:sz w:val="18"/>
                <w:szCs w:val="20"/>
              </w:rPr>
            </w:pPr>
            <w:r w:rsidRPr="001F7A12">
              <w:rPr>
                <w:rFonts w:ascii="Calibri" w:hAnsi="Calibri"/>
                <w:b/>
                <w:bCs/>
                <w:color w:val="FF0000"/>
                <w:sz w:val="18"/>
                <w:szCs w:val="20"/>
              </w:rPr>
              <w:t>-2.239 ***</w:t>
            </w:r>
          </w:p>
        </w:tc>
        <w:tc>
          <w:tcPr>
            <w:tcW w:w="1077" w:type="dxa"/>
            <w:vAlign w:val="center"/>
          </w:tcPr>
          <w:p w:rsidR="001F7A12" w:rsidRPr="001F7A12" w:rsidRDefault="001F7A12">
            <w:pPr>
              <w:rPr>
                <w:rFonts w:ascii="Calibri" w:hAnsi="Calibri"/>
                <w:b/>
                <w:bCs/>
                <w:color w:val="FF0000"/>
                <w:sz w:val="18"/>
                <w:szCs w:val="20"/>
              </w:rPr>
            </w:pPr>
            <w:r w:rsidRPr="001F7A12">
              <w:rPr>
                <w:rFonts w:ascii="Calibri" w:hAnsi="Calibri"/>
                <w:b/>
                <w:bCs/>
                <w:color w:val="FF0000"/>
                <w:sz w:val="18"/>
                <w:szCs w:val="20"/>
              </w:rPr>
              <w:t>-1.663 ***</w:t>
            </w:r>
          </w:p>
        </w:tc>
        <w:tc>
          <w:tcPr>
            <w:tcW w:w="1077" w:type="dxa"/>
            <w:vAlign w:val="center"/>
          </w:tcPr>
          <w:p w:rsidR="001F7A12" w:rsidRPr="001F7A12" w:rsidRDefault="001F7A12">
            <w:pPr>
              <w:rPr>
                <w:rFonts w:ascii="Calibri" w:hAnsi="Calibri"/>
                <w:b/>
                <w:bCs/>
                <w:color w:val="548DD4"/>
                <w:sz w:val="18"/>
                <w:szCs w:val="20"/>
              </w:rPr>
            </w:pPr>
            <w:r w:rsidRPr="001F7A12">
              <w:rPr>
                <w:rFonts w:ascii="Calibri" w:hAnsi="Calibri"/>
                <w:b/>
                <w:bCs/>
                <w:color w:val="548DD4"/>
                <w:sz w:val="18"/>
                <w:szCs w:val="20"/>
              </w:rPr>
              <w:t>0.962 ***</w:t>
            </w:r>
          </w:p>
        </w:tc>
        <w:tc>
          <w:tcPr>
            <w:tcW w:w="1078" w:type="dxa"/>
            <w:gridSpan w:val="2"/>
            <w:vAlign w:val="center"/>
          </w:tcPr>
          <w:p w:rsidR="001F7A12" w:rsidRPr="001F7A12" w:rsidRDefault="001F7A12">
            <w:pPr>
              <w:rPr>
                <w:rFonts w:ascii="Calibri" w:hAnsi="Calibri"/>
                <w:b/>
                <w:bCs/>
                <w:color w:val="548DD4"/>
                <w:sz w:val="18"/>
                <w:szCs w:val="20"/>
              </w:rPr>
            </w:pPr>
            <w:r w:rsidRPr="001F7A12">
              <w:rPr>
                <w:rFonts w:ascii="Calibri" w:hAnsi="Calibri"/>
                <w:b/>
                <w:bCs/>
                <w:color w:val="548DD4"/>
                <w:sz w:val="18"/>
                <w:szCs w:val="20"/>
              </w:rPr>
              <w:t>1.829 ***</w:t>
            </w:r>
          </w:p>
        </w:tc>
      </w:tr>
      <w:tr w:rsidR="001F7A12" w:rsidRPr="00ED504D" w:rsidTr="006C43BF">
        <w:trPr>
          <w:trHeight w:val="254"/>
          <w:jc w:val="center"/>
        </w:trPr>
        <w:tc>
          <w:tcPr>
            <w:tcW w:w="1134" w:type="dxa"/>
            <w:vMerge/>
            <w:vAlign w:val="center"/>
          </w:tcPr>
          <w:p w:rsidR="001F7A12" w:rsidRPr="00ED504D" w:rsidRDefault="001F7A12" w:rsidP="006C43BF">
            <w:pPr>
              <w:rPr>
                <w:rFonts w:ascii="Calibri" w:hAnsi="Calibri"/>
                <w:color w:val="000000"/>
                <w:sz w:val="18"/>
                <w:szCs w:val="20"/>
              </w:rPr>
            </w:pPr>
          </w:p>
        </w:tc>
        <w:tc>
          <w:tcPr>
            <w:tcW w:w="236" w:type="dxa"/>
          </w:tcPr>
          <w:p w:rsidR="001F7A12" w:rsidRPr="00ED504D" w:rsidRDefault="001F7A12" w:rsidP="00E759EB">
            <w:pPr>
              <w:jc w:val="center"/>
              <w:rPr>
                <w:sz w:val="18"/>
                <w:szCs w:val="20"/>
              </w:rPr>
            </w:pPr>
          </w:p>
        </w:tc>
        <w:tc>
          <w:tcPr>
            <w:tcW w:w="1077" w:type="dxa"/>
            <w:vAlign w:val="center"/>
          </w:tcPr>
          <w:p w:rsidR="001F7A12" w:rsidRPr="001F7A12" w:rsidRDefault="001F7A12">
            <w:pPr>
              <w:jc w:val="right"/>
              <w:rPr>
                <w:rFonts w:ascii="Calibri" w:hAnsi="Calibri"/>
                <w:color w:val="000000"/>
                <w:sz w:val="18"/>
                <w:szCs w:val="18"/>
              </w:rPr>
            </w:pPr>
            <w:r w:rsidRPr="001F7A12">
              <w:rPr>
                <w:rFonts w:ascii="Calibri" w:hAnsi="Calibri"/>
                <w:color w:val="000000"/>
                <w:sz w:val="18"/>
                <w:szCs w:val="18"/>
              </w:rPr>
              <w:t>3.00%</w:t>
            </w:r>
          </w:p>
        </w:tc>
        <w:tc>
          <w:tcPr>
            <w:tcW w:w="1077" w:type="dxa"/>
            <w:vAlign w:val="center"/>
          </w:tcPr>
          <w:p w:rsidR="001F7A12" w:rsidRPr="001F7A12" w:rsidRDefault="001F7A12">
            <w:pPr>
              <w:jc w:val="right"/>
              <w:rPr>
                <w:rFonts w:ascii="Calibri" w:hAnsi="Calibri"/>
                <w:color w:val="000000"/>
                <w:sz w:val="18"/>
                <w:szCs w:val="18"/>
              </w:rPr>
            </w:pPr>
            <w:r w:rsidRPr="001F7A12">
              <w:rPr>
                <w:rFonts w:ascii="Calibri" w:hAnsi="Calibri"/>
                <w:color w:val="000000"/>
                <w:sz w:val="18"/>
                <w:szCs w:val="18"/>
              </w:rPr>
              <w:t>1.82%</w:t>
            </w:r>
          </w:p>
        </w:tc>
        <w:tc>
          <w:tcPr>
            <w:tcW w:w="1077" w:type="dxa"/>
            <w:vAlign w:val="center"/>
          </w:tcPr>
          <w:p w:rsidR="001F7A12" w:rsidRPr="001F7A12" w:rsidRDefault="001F7A12">
            <w:pPr>
              <w:jc w:val="right"/>
              <w:rPr>
                <w:rFonts w:ascii="Calibri" w:hAnsi="Calibri"/>
                <w:color w:val="000000"/>
                <w:sz w:val="18"/>
                <w:szCs w:val="18"/>
              </w:rPr>
            </w:pPr>
            <w:r w:rsidRPr="001F7A12">
              <w:rPr>
                <w:rFonts w:ascii="Calibri" w:hAnsi="Calibri"/>
                <w:color w:val="000000"/>
                <w:sz w:val="18"/>
                <w:szCs w:val="18"/>
              </w:rPr>
              <w:t>0.05%</w:t>
            </w:r>
          </w:p>
        </w:tc>
        <w:tc>
          <w:tcPr>
            <w:tcW w:w="1078" w:type="dxa"/>
            <w:vAlign w:val="center"/>
          </w:tcPr>
          <w:p w:rsidR="001F7A12" w:rsidRPr="001F7A12" w:rsidRDefault="001F7A12">
            <w:pPr>
              <w:jc w:val="right"/>
              <w:rPr>
                <w:rFonts w:ascii="Calibri" w:hAnsi="Calibri"/>
                <w:color w:val="000000"/>
                <w:sz w:val="18"/>
                <w:szCs w:val="18"/>
              </w:rPr>
            </w:pPr>
            <w:r w:rsidRPr="001F7A12">
              <w:rPr>
                <w:rFonts w:ascii="Calibri" w:hAnsi="Calibri"/>
                <w:color w:val="000000"/>
                <w:sz w:val="18"/>
                <w:szCs w:val="18"/>
              </w:rPr>
              <w:t>0.05%</w:t>
            </w:r>
          </w:p>
        </w:tc>
        <w:tc>
          <w:tcPr>
            <w:tcW w:w="236" w:type="dxa"/>
          </w:tcPr>
          <w:p w:rsidR="001F7A12" w:rsidRPr="006B31B1" w:rsidRDefault="001F7A12" w:rsidP="00E759EB">
            <w:pPr>
              <w:rPr>
                <w:rFonts w:ascii="Calibri" w:hAnsi="Calibri"/>
                <w:color w:val="000000"/>
                <w:sz w:val="18"/>
              </w:rPr>
            </w:pPr>
          </w:p>
        </w:tc>
        <w:tc>
          <w:tcPr>
            <w:tcW w:w="1077" w:type="dxa"/>
            <w:vAlign w:val="center"/>
          </w:tcPr>
          <w:p w:rsidR="001F7A12" w:rsidRPr="001F7A12" w:rsidRDefault="001F7A12">
            <w:pPr>
              <w:jc w:val="right"/>
              <w:rPr>
                <w:rFonts w:ascii="Calibri" w:hAnsi="Calibri"/>
                <w:color w:val="000000"/>
                <w:sz w:val="18"/>
                <w:szCs w:val="18"/>
              </w:rPr>
            </w:pPr>
            <w:r w:rsidRPr="001F7A12">
              <w:rPr>
                <w:rFonts w:ascii="Calibri" w:hAnsi="Calibri"/>
                <w:color w:val="000000"/>
                <w:sz w:val="18"/>
                <w:szCs w:val="18"/>
              </w:rPr>
              <w:t>31.70%</w:t>
            </w:r>
          </w:p>
        </w:tc>
        <w:tc>
          <w:tcPr>
            <w:tcW w:w="1077" w:type="dxa"/>
            <w:vAlign w:val="center"/>
          </w:tcPr>
          <w:p w:rsidR="001F7A12" w:rsidRPr="001F7A12" w:rsidRDefault="001F7A12">
            <w:pPr>
              <w:jc w:val="right"/>
              <w:rPr>
                <w:rFonts w:ascii="Calibri" w:hAnsi="Calibri"/>
                <w:color w:val="000000"/>
                <w:sz w:val="18"/>
                <w:szCs w:val="18"/>
              </w:rPr>
            </w:pPr>
            <w:r w:rsidRPr="001F7A12">
              <w:rPr>
                <w:rFonts w:ascii="Calibri" w:hAnsi="Calibri"/>
                <w:color w:val="000000"/>
                <w:sz w:val="18"/>
                <w:szCs w:val="18"/>
              </w:rPr>
              <w:t>18.99%</w:t>
            </w:r>
          </w:p>
        </w:tc>
        <w:tc>
          <w:tcPr>
            <w:tcW w:w="1077" w:type="dxa"/>
            <w:vAlign w:val="center"/>
          </w:tcPr>
          <w:p w:rsidR="001F7A12" w:rsidRPr="001F7A12" w:rsidRDefault="001F7A12">
            <w:pPr>
              <w:jc w:val="right"/>
              <w:rPr>
                <w:rFonts w:ascii="Calibri" w:hAnsi="Calibri"/>
                <w:color w:val="000000"/>
                <w:sz w:val="18"/>
                <w:szCs w:val="18"/>
              </w:rPr>
            </w:pPr>
            <w:r w:rsidRPr="001F7A12">
              <w:rPr>
                <w:rFonts w:ascii="Calibri" w:hAnsi="Calibri"/>
                <w:color w:val="000000"/>
                <w:sz w:val="18"/>
                <w:szCs w:val="18"/>
              </w:rPr>
              <w:t>1.16%</w:t>
            </w:r>
          </w:p>
        </w:tc>
        <w:tc>
          <w:tcPr>
            <w:tcW w:w="1078" w:type="dxa"/>
            <w:vAlign w:val="center"/>
          </w:tcPr>
          <w:p w:rsidR="001F7A12" w:rsidRPr="001F7A12" w:rsidRDefault="001F7A12">
            <w:pPr>
              <w:jc w:val="right"/>
              <w:rPr>
                <w:rFonts w:ascii="Calibri" w:hAnsi="Calibri"/>
                <w:color w:val="000000"/>
                <w:sz w:val="18"/>
                <w:szCs w:val="18"/>
              </w:rPr>
            </w:pPr>
            <w:r w:rsidRPr="001F7A12">
              <w:rPr>
                <w:rFonts w:ascii="Calibri" w:hAnsi="Calibri"/>
                <w:color w:val="000000"/>
                <w:sz w:val="18"/>
                <w:szCs w:val="18"/>
              </w:rPr>
              <w:t>1.65%</w:t>
            </w:r>
          </w:p>
        </w:tc>
        <w:tc>
          <w:tcPr>
            <w:tcW w:w="236" w:type="dxa"/>
          </w:tcPr>
          <w:p w:rsidR="001F7A12" w:rsidRPr="006B31B1" w:rsidRDefault="001F7A12" w:rsidP="00E759EB">
            <w:pPr>
              <w:rPr>
                <w:rFonts w:ascii="Calibri" w:hAnsi="Calibri"/>
                <w:color w:val="000000"/>
                <w:sz w:val="18"/>
              </w:rPr>
            </w:pPr>
          </w:p>
        </w:tc>
        <w:tc>
          <w:tcPr>
            <w:tcW w:w="1077" w:type="dxa"/>
            <w:vAlign w:val="center"/>
          </w:tcPr>
          <w:p w:rsidR="001F7A12" w:rsidRPr="001F7A12" w:rsidRDefault="001F7A12">
            <w:pPr>
              <w:jc w:val="right"/>
              <w:rPr>
                <w:rFonts w:ascii="Calibri" w:hAnsi="Calibri"/>
                <w:color w:val="000000"/>
                <w:sz w:val="18"/>
                <w:szCs w:val="18"/>
              </w:rPr>
            </w:pPr>
            <w:r w:rsidRPr="001F7A12">
              <w:rPr>
                <w:rFonts w:ascii="Calibri" w:hAnsi="Calibri"/>
                <w:color w:val="000000"/>
                <w:sz w:val="18"/>
                <w:szCs w:val="18"/>
              </w:rPr>
              <w:t>19.24%</w:t>
            </w:r>
          </w:p>
        </w:tc>
        <w:tc>
          <w:tcPr>
            <w:tcW w:w="1077" w:type="dxa"/>
            <w:vAlign w:val="center"/>
          </w:tcPr>
          <w:p w:rsidR="001F7A12" w:rsidRPr="001F7A12" w:rsidRDefault="001F7A12">
            <w:pPr>
              <w:jc w:val="right"/>
              <w:rPr>
                <w:rFonts w:ascii="Calibri" w:hAnsi="Calibri"/>
                <w:color w:val="000000"/>
                <w:sz w:val="18"/>
                <w:szCs w:val="18"/>
              </w:rPr>
            </w:pPr>
            <w:r w:rsidRPr="001F7A12">
              <w:rPr>
                <w:rFonts w:ascii="Calibri" w:hAnsi="Calibri"/>
                <w:color w:val="000000"/>
                <w:sz w:val="18"/>
                <w:szCs w:val="18"/>
              </w:rPr>
              <w:t>13.35%</w:t>
            </w:r>
          </w:p>
        </w:tc>
        <w:tc>
          <w:tcPr>
            <w:tcW w:w="1077" w:type="dxa"/>
            <w:vAlign w:val="center"/>
          </w:tcPr>
          <w:p w:rsidR="001F7A12" w:rsidRPr="001F7A12" w:rsidRDefault="001F7A12">
            <w:pPr>
              <w:jc w:val="right"/>
              <w:rPr>
                <w:rFonts w:ascii="Calibri" w:hAnsi="Calibri"/>
                <w:color w:val="000000"/>
                <w:sz w:val="18"/>
                <w:szCs w:val="18"/>
              </w:rPr>
            </w:pPr>
            <w:r w:rsidRPr="001F7A12">
              <w:rPr>
                <w:rFonts w:ascii="Calibri" w:hAnsi="Calibri"/>
                <w:color w:val="000000"/>
                <w:sz w:val="18"/>
                <w:szCs w:val="18"/>
              </w:rPr>
              <w:t>1.37%</w:t>
            </w:r>
          </w:p>
        </w:tc>
        <w:tc>
          <w:tcPr>
            <w:tcW w:w="1078" w:type="dxa"/>
            <w:gridSpan w:val="2"/>
            <w:vAlign w:val="center"/>
          </w:tcPr>
          <w:p w:rsidR="001F7A12" w:rsidRPr="001F7A12" w:rsidRDefault="001F7A12">
            <w:pPr>
              <w:jc w:val="right"/>
              <w:rPr>
                <w:rFonts w:ascii="Calibri" w:hAnsi="Calibri"/>
                <w:color w:val="000000"/>
                <w:sz w:val="18"/>
                <w:szCs w:val="18"/>
              </w:rPr>
            </w:pPr>
            <w:r w:rsidRPr="001F7A12">
              <w:rPr>
                <w:rFonts w:ascii="Calibri" w:hAnsi="Calibri"/>
                <w:color w:val="000000"/>
                <w:sz w:val="18"/>
                <w:szCs w:val="18"/>
              </w:rPr>
              <w:t>1.99%</w:t>
            </w:r>
          </w:p>
        </w:tc>
      </w:tr>
      <w:tr w:rsidR="001F7A12" w:rsidRPr="00ED504D" w:rsidTr="006C43BF">
        <w:trPr>
          <w:trHeight w:val="254"/>
          <w:jc w:val="center"/>
        </w:trPr>
        <w:tc>
          <w:tcPr>
            <w:tcW w:w="1134" w:type="dxa"/>
            <w:vMerge w:val="restart"/>
            <w:vAlign w:val="center"/>
          </w:tcPr>
          <w:p w:rsidR="001F7A12" w:rsidRPr="00ED504D" w:rsidRDefault="001F7A12" w:rsidP="006C43BF">
            <w:pPr>
              <w:rPr>
                <w:rFonts w:ascii="Calibri" w:hAnsi="Calibri"/>
                <w:color w:val="000000"/>
                <w:sz w:val="18"/>
                <w:szCs w:val="20"/>
              </w:rPr>
            </w:pPr>
            <w:r w:rsidRPr="00ED504D">
              <w:rPr>
                <w:rFonts w:ascii="Calibri" w:hAnsi="Calibri"/>
                <w:color w:val="000000"/>
                <w:sz w:val="18"/>
                <w:szCs w:val="20"/>
              </w:rPr>
              <w:t>Portugal</w:t>
            </w:r>
          </w:p>
        </w:tc>
        <w:tc>
          <w:tcPr>
            <w:tcW w:w="236" w:type="dxa"/>
          </w:tcPr>
          <w:p w:rsidR="001F7A12" w:rsidRPr="00ED504D" w:rsidRDefault="001F7A12" w:rsidP="00E759EB">
            <w:pPr>
              <w:jc w:val="center"/>
              <w:rPr>
                <w:sz w:val="18"/>
                <w:szCs w:val="20"/>
              </w:rPr>
            </w:pPr>
          </w:p>
        </w:tc>
        <w:tc>
          <w:tcPr>
            <w:tcW w:w="1077" w:type="dxa"/>
            <w:vAlign w:val="center"/>
          </w:tcPr>
          <w:p w:rsidR="001F7A12" w:rsidRPr="001F7A12" w:rsidRDefault="001F7A12">
            <w:pPr>
              <w:rPr>
                <w:rFonts w:ascii="Calibri" w:hAnsi="Calibri"/>
                <w:b/>
                <w:bCs/>
                <w:color w:val="FF0000"/>
                <w:sz w:val="18"/>
                <w:szCs w:val="20"/>
              </w:rPr>
            </w:pPr>
            <w:r w:rsidRPr="001F7A12">
              <w:rPr>
                <w:rFonts w:ascii="Calibri" w:hAnsi="Calibri"/>
                <w:b/>
                <w:bCs/>
                <w:color w:val="FF0000"/>
                <w:sz w:val="18"/>
                <w:szCs w:val="20"/>
              </w:rPr>
              <w:t>-1.116 ***</w:t>
            </w:r>
          </w:p>
        </w:tc>
        <w:tc>
          <w:tcPr>
            <w:tcW w:w="1077" w:type="dxa"/>
            <w:vAlign w:val="center"/>
          </w:tcPr>
          <w:p w:rsidR="001F7A12" w:rsidRPr="001F7A12" w:rsidRDefault="001F7A12">
            <w:pPr>
              <w:rPr>
                <w:rFonts w:ascii="Calibri" w:hAnsi="Calibri"/>
                <w:b/>
                <w:bCs/>
                <w:color w:val="FF0000"/>
                <w:sz w:val="18"/>
                <w:szCs w:val="20"/>
              </w:rPr>
            </w:pPr>
            <w:r w:rsidRPr="001F7A12">
              <w:rPr>
                <w:rFonts w:ascii="Calibri" w:hAnsi="Calibri"/>
                <w:b/>
                <w:bCs/>
                <w:color w:val="FF0000"/>
                <w:sz w:val="18"/>
                <w:szCs w:val="20"/>
              </w:rPr>
              <w:t>-0.927 ***</w:t>
            </w:r>
          </w:p>
        </w:tc>
        <w:tc>
          <w:tcPr>
            <w:tcW w:w="1077" w:type="dxa"/>
            <w:vAlign w:val="center"/>
          </w:tcPr>
          <w:p w:rsidR="001F7A12" w:rsidRPr="001F7A12" w:rsidRDefault="001F7A12">
            <w:pPr>
              <w:rPr>
                <w:rFonts w:ascii="Calibri" w:hAnsi="Calibri"/>
                <w:color w:val="000000"/>
                <w:sz w:val="18"/>
                <w:szCs w:val="20"/>
              </w:rPr>
            </w:pPr>
            <w:r w:rsidRPr="001F7A12">
              <w:rPr>
                <w:rFonts w:ascii="Calibri" w:hAnsi="Calibri"/>
                <w:color w:val="000000"/>
                <w:sz w:val="18"/>
                <w:szCs w:val="20"/>
              </w:rPr>
              <w:t>-0.773</w:t>
            </w:r>
          </w:p>
        </w:tc>
        <w:tc>
          <w:tcPr>
            <w:tcW w:w="1078" w:type="dxa"/>
            <w:vAlign w:val="center"/>
          </w:tcPr>
          <w:p w:rsidR="001F7A12" w:rsidRPr="001F7A12" w:rsidRDefault="001F7A12">
            <w:pPr>
              <w:rPr>
                <w:rFonts w:ascii="Calibri" w:hAnsi="Calibri"/>
                <w:color w:val="000000"/>
                <w:sz w:val="18"/>
                <w:szCs w:val="20"/>
              </w:rPr>
            </w:pPr>
            <w:r w:rsidRPr="001F7A12">
              <w:rPr>
                <w:rFonts w:ascii="Calibri" w:hAnsi="Calibri"/>
                <w:color w:val="000000"/>
                <w:sz w:val="18"/>
                <w:szCs w:val="20"/>
              </w:rPr>
              <w:t>0.101</w:t>
            </w:r>
          </w:p>
        </w:tc>
        <w:tc>
          <w:tcPr>
            <w:tcW w:w="236" w:type="dxa"/>
          </w:tcPr>
          <w:p w:rsidR="001F7A12" w:rsidRPr="00ED504D" w:rsidRDefault="001F7A12" w:rsidP="00E759EB">
            <w:pPr>
              <w:rPr>
                <w:rFonts w:ascii="Calibri" w:hAnsi="Calibri"/>
                <w:color w:val="000000"/>
                <w:sz w:val="18"/>
              </w:rPr>
            </w:pPr>
          </w:p>
        </w:tc>
        <w:tc>
          <w:tcPr>
            <w:tcW w:w="1077" w:type="dxa"/>
            <w:vAlign w:val="center"/>
          </w:tcPr>
          <w:p w:rsidR="001F7A12" w:rsidRPr="001F7A12" w:rsidRDefault="001F7A12">
            <w:pPr>
              <w:rPr>
                <w:rFonts w:ascii="Calibri" w:hAnsi="Calibri"/>
                <w:b/>
                <w:bCs/>
                <w:color w:val="FF0000"/>
                <w:sz w:val="18"/>
                <w:szCs w:val="20"/>
              </w:rPr>
            </w:pPr>
            <w:r w:rsidRPr="001F7A12">
              <w:rPr>
                <w:rFonts w:ascii="Calibri" w:hAnsi="Calibri"/>
                <w:b/>
                <w:bCs/>
                <w:color w:val="FF0000"/>
                <w:sz w:val="18"/>
                <w:szCs w:val="20"/>
              </w:rPr>
              <w:t>-2.618 ***</w:t>
            </w:r>
          </w:p>
        </w:tc>
        <w:tc>
          <w:tcPr>
            <w:tcW w:w="1077" w:type="dxa"/>
            <w:vAlign w:val="center"/>
          </w:tcPr>
          <w:p w:rsidR="001F7A12" w:rsidRPr="001F7A12" w:rsidRDefault="001F7A12">
            <w:pPr>
              <w:rPr>
                <w:rFonts w:ascii="Calibri" w:hAnsi="Calibri"/>
                <w:b/>
                <w:bCs/>
                <w:color w:val="FF0000"/>
                <w:sz w:val="18"/>
                <w:szCs w:val="20"/>
              </w:rPr>
            </w:pPr>
            <w:r w:rsidRPr="001F7A12">
              <w:rPr>
                <w:rFonts w:ascii="Calibri" w:hAnsi="Calibri"/>
                <w:b/>
                <w:bCs/>
                <w:color w:val="FF0000"/>
                <w:sz w:val="18"/>
                <w:szCs w:val="20"/>
              </w:rPr>
              <w:t>-1.841 ***</w:t>
            </w:r>
          </w:p>
        </w:tc>
        <w:tc>
          <w:tcPr>
            <w:tcW w:w="1077" w:type="dxa"/>
            <w:vAlign w:val="center"/>
          </w:tcPr>
          <w:p w:rsidR="001F7A12" w:rsidRPr="001F7A12" w:rsidRDefault="001F7A12">
            <w:pPr>
              <w:rPr>
                <w:rFonts w:ascii="Calibri" w:hAnsi="Calibri"/>
                <w:color w:val="000000"/>
                <w:sz w:val="18"/>
                <w:szCs w:val="20"/>
              </w:rPr>
            </w:pPr>
            <w:r w:rsidRPr="001F7A12">
              <w:rPr>
                <w:rFonts w:ascii="Calibri" w:hAnsi="Calibri"/>
                <w:color w:val="000000"/>
                <w:sz w:val="18"/>
                <w:szCs w:val="20"/>
              </w:rPr>
              <w:t>0.827</w:t>
            </w:r>
          </w:p>
        </w:tc>
        <w:tc>
          <w:tcPr>
            <w:tcW w:w="1078" w:type="dxa"/>
            <w:vAlign w:val="center"/>
          </w:tcPr>
          <w:p w:rsidR="001F7A12" w:rsidRPr="001F7A12" w:rsidRDefault="001F7A12">
            <w:pPr>
              <w:rPr>
                <w:rFonts w:ascii="Calibri" w:hAnsi="Calibri"/>
                <w:color w:val="000000"/>
                <w:sz w:val="18"/>
                <w:szCs w:val="20"/>
              </w:rPr>
            </w:pPr>
            <w:r w:rsidRPr="001F7A12">
              <w:rPr>
                <w:rFonts w:ascii="Calibri" w:hAnsi="Calibri"/>
                <w:color w:val="000000"/>
                <w:sz w:val="18"/>
                <w:szCs w:val="20"/>
              </w:rPr>
              <w:t>0.948</w:t>
            </w:r>
          </w:p>
        </w:tc>
        <w:tc>
          <w:tcPr>
            <w:tcW w:w="236" w:type="dxa"/>
          </w:tcPr>
          <w:p w:rsidR="001F7A12" w:rsidRPr="00ED504D" w:rsidRDefault="001F7A12" w:rsidP="00E759EB">
            <w:pPr>
              <w:rPr>
                <w:rFonts w:ascii="Calibri" w:hAnsi="Calibri"/>
                <w:color w:val="000000"/>
                <w:sz w:val="18"/>
              </w:rPr>
            </w:pPr>
          </w:p>
        </w:tc>
        <w:tc>
          <w:tcPr>
            <w:tcW w:w="1077" w:type="dxa"/>
            <w:vAlign w:val="center"/>
          </w:tcPr>
          <w:p w:rsidR="001F7A12" w:rsidRPr="001F7A12" w:rsidRDefault="001F7A12">
            <w:pPr>
              <w:rPr>
                <w:rFonts w:ascii="Calibri" w:hAnsi="Calibri"/>
                <w:b/>
                <w:bCs/>
                <w:color w:val="FF0000"/>
                <w:sz w:val="18"/>
                <w:szCs w:val="20"/>
              </w:rPr>
            </w:pPr>
            <w:r w:rsidRPr="001F7A12">
              <w:rPr>
                <w:rFonts w:ascii="Calibri" w:hAnsi="Calibri"/>
                <w:b/>
                <w:bCs/>
                <w:color w:val="FF0000"/>
                <w:sz w:val="18"/>
                <w:szCs w:val="20"/>
              </w:rPr>
              <w:t>-2.044 ***</w:t>
            </w:r>
          </w:p>
        </w:tc>
        <w:tc>
          <w:tcPr>
            <w:tcW w:w="1077" w:type="dxa"/>
            <w:vAlign w:val="center"/>
          </w:tcPr>
          <w:p w:rsidR="001F7A12" w:rsidRPr="001F7A12" w:rsidRDefault="001F7A12">
            <w:pPr>
              <w:rPr>
                <w:rFonts w:ascii="Calibri" w:hAnsi="Calibri"/>
                <w:b/>
                <w:bCs/>
                <w:color w:val="FF0000"/>
                <w:sz w:val="18"/>
                <w:szCs w:val="20"/>
              </w:rPr>
            </w:pPr>
            <w:r w:rsidRPr="001F7A12">
              <w:rPr>
                <w:rFonts w:ascii="Calibri" w:hAnsi="Calibri"/>
                <w:b/>
                <w:bCs/>
                <w:color w:val="FF0000"/>
                <w:sz w:val="18"/>
                <w:szCs w:val="20"/>
              </w:rPr>
              <w:t>-1.558 ***</w:t>
            </w:r>
          </w:p>
        </w:tc>
        <w:tc>
          <w:tcPr>
            <w:tcW w:w="1077" w:type="dxa"/>
            <w:vAlign w:val="center"/>
          </w:tcPr>
          <w:p w:rsidR="001F7A12" w:rsidRPr="001F7A12" w:rsidRDefault="001F7A12">
            <w:pPr>
              <w:rPr>
                <w:rFonts w:ascii="Calibri" w:hAnsi="Calibri"/>
                <w:color w:val="000000"/>
                <w:sz w:val="18"/>
                <w:szCs w:val="20"/>
              </w:rPr>
            </w:pPr>
            <w:r w:rsidRPr="001F7A12">
              <w:rPr>
                <w:rFonts w:ascii="Calibri" w:hAnsi="Calibri"/>
                <w:color w:val="000000"/>
                <w:sz w:val="18"/>
                <w:szCs w:val="20"/>
              </w:rPr>
              <w:t>0.855</w:t>
            </w:r>
          </w:p>
        </w:tc>
        <w:tc>
          <w:tcPr>
            <w:tcW w:w="1078" w:type="dxa"/>
            <w:gridSpan w:val="2"/>
            <w:vAlign w:val="center"/>
          </w:tcPr>
          <w:p w:rsidR="001F7A12" w:rsidRPr="001F7A12" w:rsidRDefault="001F7A12">
            <w:pPr>
              <w:rPr>
                <w:rFonts w:ascii="Calibri" w:hAnsi="Calibri"/>
                <w:color w:val="000000"/>
                <w:sz w:val="18"/>
                <w:szCs w:val="20"/>
              </w:rPr>
            </w:pPr>
            <w:r w:rsidRPr="001F7A12">
              <w:rPr>
                <w:rFonts w:ascii="Calibri" w:hAnsi="Calibri"/>
                <w:color w:val="000000"/>
                <w:sz w:val="18"/>
                <w:szCs w:val="20"/>
              </w:rPr>
              <w:t>0.953</w:t>
            </w:r>
          </w:p>
        </w:tc>
      </w:tr>
      <w:tr w:rsidR="001F7A12" w:rsidRPr="00ED504D" w:rsidTr="006C43BF">
        <w:trPr>
          <w:trHeight w:val="254"/>
          <w:jc w:val="center"/>
        </w:trPr>
        <w:tc>
          <w:tcPr>
            <w:tcW w:w="1134" w:type="dxa"/>
            <w:vMerge/>
            <w:vAlign w:val="center"/>
          </w:tcPr>
          <w:p w:rsidR="001F7A12" w:rsidRPr="00ED504D" w:rsidRDefault="001F7A12" w:rsidP="006C43BF">
            <w:pPr>
              <w:rPr>
                <w:rFonts w:ascii="Calibri" w:hAnsi="Calibri"/>
                <w:color w:val="000000"/>
                <w:sz w:val="18"/>
                <w:szCs w:val="20"/>
              </w:rPr>
            </w:pPr>
          </w:p>
        </w:tc>
        <w:tc>
          <w:tcPr>
            <w:tcW w:w="236" w:type="dxa"/>
          </w:tcPr>
          <w:p w:rsidR="001F7A12" w:rsidRPr="00ED504D" w:rsidRDefault="001F7A12" w:rsidP="00E759EB">
            <w:pPr>
              <w:jc w:val="center"/>
              <w:rPr>
                <w:sz w:val="18"/>
                <w:szCs w:val="20"/>
              </w:rPr>
            </w:pPr>
          </w:p>
        </w:tc>
        <w:tc>
          <w:tcPr>
            <w:tcW w:w="1077" w:type="dxa"/>
            <w:vAlign w:val="center"/>
          </w:tcPr>
          <w:p w:rsidR="001F7A12" w:rsidRPr="001F7A12" w:rsidRDefault="001F7A12">
            <w:pPr>
              <w:jc w:val="right"/>
              <w:rPr>
                <w:rFonts w:ascii="Calibri" w:hAnsi="Calibri"/>
                <w:color w:val="000000"/>
                <w:sz w:val="18"/>
                <w:szCs w:val="18"/>
              </w:rPr>
            </w:pPr>
            <w:r w:rsidRPr="001F7A12">
              <w:rPr>
                <w:rFonts w:ascii="Calibri" w:hAnsi="Calibri"/>
                <w:color w:val="000000"/>
                <w:sz w:val="18"/>
                <w:szCs w:val="18"/>
              </w:rPr>
              <w:t>3.38%</w:t>
            </w:r>
          </w:p>
        </w:tc>
        <w:tc>
          <w:tcPr>
            <w:tcW w:w="1077" w:type="dxa"/>
            <w:vAlign w:val="center"/>
          </w:tcPr>
          <w:p w:rsidR="001F7A12" w:rsidRPr="001F7A12" w:rsidRDefault="001F7A12">
            <w:pPr>
              <w:jc w:val="right"/>
              <w:rPr>
                <w:rFonts w:ascii="Calibri" w:hAnsi="Calibri"/>
                <w:color w:val="000000"/>
                <w:sz w:val="18"/>
                <w:szCs w:val="18"/>
              </w:rPr>
            </w:pPr>
            <w:r w:rsidRPr="001F7A12">
              <w:rPr>
                <w:rFonts w:ascii="Calibri" w:hAnsi="Calibri"/>
                <w:color w:val="000000"/>
                <w:sz w:val="18"/>
                <w:szCs w:val="18"/>
              </w:rPr>
              <w:t>2.75%</w:t>
            </w:r>
          </w:p>
        </w:tc>
        <w:tc>
          <w:tcPr>
            <w:tcW w:w="1077" w:type="dxa"/>
            <w:vAlign w:val="center"/>
          </w:tcPr>
          <w:p w:rsidR="001F7A12" w:rsidRPr="001F7A12" w:rsidRDefault="001F7A12">
            <w:pPr>
              <w:jc w:val="right"/>
              <w:rPr>
                <w:rFonts w:ascii="Calibri" w:hAnsi="Calibri"/>
                <w:color w:val="000000"/>
                <w:sz w:val="18"/>
                <w:szCs w:val="18"/>
              </w:rPr>
            </w:pPr>
            <w:r w:rsidRPr="001F7A12">
              <w:rPr>
                <w:rFonts w:ascii="Calibri" w:hAnsi="Calibri"/>
                <w:color w:val="000000"/>
                <w:sz w:val="18"/>
                <w:szCs w:val="18"/>
              </w:rPr>
              <w:t>0.01%</w:t>
            </w:r>
          </w:p>
        </w:tc>
        <w:tc>
          <w:tcPr>
            <w:tcW w:w="1078" w:type="dxa"/>
            <w:vAlign w:val="center"/>
          </w:tcPr>
          <w:p w:rsidR="001F7A12" w:rsidRPr="001F7A12" w:rsidRDefault="001F7A12">
            <w:pPr>
              <w:jc w:val="right"/>
              <w:rPr>
                <w:rFonts w:ascii="Calibri" w:hAnsi="Calibri"/>
                <w:color w:val="000000"/>
                <w:sz w:val="18"/>
                <w:szCs w:val="18"/>
              </w:rPr>
            </w:pPr>
            <w:r w:rsidRPr="001F7A12">
              <w:rPr>
                <w:rFonts w:ascii="Calibri" w:hAnsi="Calibri"/>
                <w:color w:val="000000"/>
                <w:sz w:val="18"/>
                <w:szCs w:val="18"/>
              </w:rPr>
              <w:t>-0.02%</w:t>
            </w:r>
          </w:p>
        </w:tc>
        <w:tc>
          <w:tcPr>
            <w:tcW w:w="236" w:type="dxa"/>
          </w:tcPr>
          <w:p w:rsidR="001F7A12" w:rsidRPr="006B31B1" w:rsidRDefault="001F7A12" w:rsidP="00E759EB">
            <w:pPr>
              <w:rPr>
                <w:rFonts w:ascii="Calibri" w:hAnsi="Calibri"/>
                <w:color w:val="000000"/>
                <w:sz w:val="18"/>
              </w:rPr>
            </w:pPr>
          </w:p>
        </w:tc>
        <w:tc>
          <w:tcPr>
            <w:tcW w:w="1077" w:type="dxa"/>
            <w:vAlign w:val="center"/>
          </w:tcPr>
          <w:p w:rsidR="001F7A12" w:rsidRPr="001F7A12" w:rsidRDefault="001F7A12">
            <w:pPr>
              <w:jc w:val="right"/>
              <w:rPr>
                <w:rFonts w:ascii="Calibri" w:hAnsi="Calibri"/>
                <w:color w:val="000000"/>
                <w:sz w:val="18"/>
                <w:szCs w:val="18"/>
              </w:rPr>
            </w:pPr>
            <w:r w:rsidRPr="001F7A12">
              <w:rPr>
                <w:rFonts w:ascii="Calibri" w:hAnsi="Calibri"/>
                <w:color w:val="000000"/>
                <w:sz w:val="18"/>
                <w:szCs w:val="18"/>
              </w:rPr>
              <w:t>32.52%</w:t>
            </w:r>
          </w:p>
        </w:tc>
        <w:tc>
          <w:tcPr>
            <w:tcW w:w="1077" w:type="dxa"/>
            <w:vAlign w:val="center"/>
          </w:tcPr>
          <w:p w:rsidR="001F7A12" w:rsidRPr="001F7A12" w:rsidRDefault="001F7A12">
            <w:pPr>
              <w:jc w:val="right"/>
              <w:rPr>
                <w:rFonts w:ascii="Calibri" w:hAnsi="Calibri"/>
                <w:color w:val="000000"/>
                <w:sz w:val="18"/>
                <w:szCs w:val="18"/>
              </w:rPr>
            </w:pPr>
            <w:r w:rsidRPr="001F7A12">
              <w:rPr>
                <w:rFonts w:ascii="Calibri" w:hAnsi="Calibri"/>
                <w:color w:val="000000"/>
                <w:sz w:val="18"/>
                <w:szCs w:val="18"/>
              </w:rPr>
              <w:t>19.76%</w:t>
            </w:r>
          </w:p>
        </w:tc>
        <w:tc>
          <w:tcPr>
            <w:tcW w:w="1077" w:type="dxa"/>
            <w:vAlign w:val="center"/>
          </w:tcPr>
          <w:p w:rsidR="001F7A12" w:rsidRPr="001F7A12" w:rsidRDefault="001F7A12">
            <w:pPr>
              <w:jc w:val="right"/>
              <w:rPr>
                <w:rFonts w:ascii="Calibri" w:hAnsi="Calibri"/>
                <w:color w:val="000000"/>
                <w:sz w:val="18"/>
                <w:szCs w:val="18"/>
              </w:rPr>
            </w:pPr>
            <w:r w:rsidRPr="001F7A12">
              <w:rPr>
                <w:rFonts w:ascii="Calibri" w:hAnsi="Calibri"/>
                <w:color w:val="000000"/>
                <w:sz w:val="18"/>
                <w:szCs w:val="18"/>
              </w:rPr>
              <w:t>0.17%</w:t>
            </w:r>
          </w:p>
        </w:tc>
        <w:tc>
          <w:tcPr>
            <w:tcW w:w="1078" w:type="dxa"/>
            <w:vAlign w:val="center"/>
          </w:tcPr>
          <w:p w:rsidR="001F7A12" w:rsidRPr="001F7A12" w:rsidRDefault="001F7A12">
            <w:pPr>
              <w:jc w:val="right"/>
              <w:rPr>
                <w:rFonts w:ascii="Calibri" w:hAnsi="Calibri"/>
                <w:color w:val="000000"/>
                <w:sz w:val="18"/>
                <w:szCs w:val="18"/>
              </w:rPr>
            </w:pPr>
            <w:r w:rsidRPr="001F7A12">
              <w:rPr>
                <w:rFonts w:ascii="Calibri" w:hAnsi="Calibri"/>
                <w:color w:val="000000"/>
                <w:sz w:val="18"/>
                <w:szCs w:val="18"/>
              </w:rPr>
              <w:t>0.06%</w:t>
            </w:r>
          </w:p>
        </w:tc>
        <w:tc>
          <w:tcPr>
            <w:tcW w:w="236" w:type="dxa"/>
          </w:tcPr>
          <w:p w:rsidR="001F7A12" w:rsidRPr="006B31B1" w:rsidRDefault="001F7A12" w:rsidP="00E759EB">
            <w:pPr>
              <w:rPr>
                <w:rFonts w:ascii="Calibri" w:hAnsi="Calibri"/>
                <w:color w:val="000000"/>
                <w:sz w:val="18"/>
              </w:rPr>
            </w:pPr>
          </w:p>
        </w:tc>
        <w:tc>
          <w:tcPr>
            <w:tcW w:w="1077" w:type="dxa"/>
            <w:vAlign w:val="center"/>
          </w:tcPr>
          <w:p w:rsidR="001F7A12" w:rsidRPr="001F7A12" w:rsidRDefault="001F7A12">
            <w:pPr>
              <w:jc w:val="right"/>
              <w:rPr>
                <w:rFonts w:ascii="Calibri" w:hAnsi="Calibri"/>
                <w:color w:val="000000"/>
                <w:sz w:val="18"/>
                <w:szCs w:val="18"/>
              </w:rPr>
            </w:pPr>
            <w:r w:rsidRPr="001F7A12">
              <w:rPr>
                <w:rFonts w:ascii="Calibri" w:hAnsi="Calibri"/>
                <w:color w:val="000000"/>
                <w:sz w:val="18"/>
                <w:szCs w:val="18"/>
              </w:rPr>
              <w:t>19.14%</w:t>
            </w:r>
          </w:p>
        </w:tc>
        <w:tc>
          <w:tcPr>
            <w:tcW w:w="1077" w:type="dxa"/>
            <w:vAlign w:val="center"/>
          </w:tcPr>
          <w:p w:rsidR="001F7A12" w:rsidRPr="001F7A12" w:rsidRDefault="001F7A12">
            <w:pPr>
              <w:jc w:val="right"/>
              <w:rPr>
                <w:rFonts w:ascii="Calibri" w:hAnsi="Calibri"/>
                <w:color w:val="000000"/>
                <w:sz w:val="18"/>
                <w:szCs w:val="18"/>
              </w:rPr>
            </w:pPr>
            <w:r w:rsidRPr="001F7A12">
              <w:rPr>
                <w:rFonts w:ascii="Calibri" w:hAnsi="Calibri"/>
                <w:color w:val="000000"/>
                <w:sz w:val="18"/>
                <w:szCs w:val="18"/>
              </w:rPr>
              <w:t>12.30%</w:t>
            </w:r>
          </w:p>
        </w:tc>
        <w:tc>
          <w:tcPr>
            <w:tcW w:w="1077" w:type="dxa"/>
            <w:vAlign w:val="center"/>
          </w:tcPr>
          <w:p w:rsidR="001F7A12" w:rsidRPr="001F7A12" w:rsidRDefault="001F7A12">
            <w:pPr>
              <w:jc w:val="right"/>
              <w:rPr>
                <w:rFonts w:ascii="Calibri" w:hAnsi="Calibri"/>
                <w:color w:val="000000"/>
                <w:sz w:val="18"/>
                <w:szCs w:val="18"/>
              </w:rPr>
            </w:pPr>
            <w:r w:rsidRPr="001F7A12">
              <w:rPr>
                <w:rFonts w:ascii="Calibri" w:hAnsi="Calibri"/>
                <w:color w:val="000000"/>
                <w:sz w:val="18"/>
                <w:szCs w:val="18"/>
              </w:rPr>
              <w:t>0.18%</w:t>
            </w:r>
          </w:p>
        </w:tc>
        <w:tc>
          <w:tcPr>
            <w:tcW w:w="1078" w:type="dxa"/>
            <w:gridSpan w:val="2"/>
            <w:vAlign w:val="center"/>
          </w:tcPr>
          <w:p w:rsidR="001F7A12" w:rsidRPr="001F7A12" w:rsidRDefault="001F7A12">
            <w:pPr>
              <w:jc w:val="right"/>
              <w:rPr>
                <w:rFonts w:ascii="Calibri" w:hAnsi="Calibri"/>
                <w:color w:val="000000"/>
                <w:sz w:val="18"/>
                <w:szCs w:val="18"/>
              </w:rPr>
            </w:pPr>
            <w:r w:rsidRPr="001F7A12">
              <w:rPr>
                <w:rFonts w:ascii="Calibri" w:hAnsi="Calibri"/>
                <w:color w:val="000000"/>
                <w:sz w:val="18"/>
                <w:szCs w:val="18"/>
              </w:rPr>
              <w:t>0.06%</w:t>
            </w:r>
          </w:p>
        </w:tc>
      </w:tr>
      <w:tr w:rsidR="001F7A12" w:rsidRPr="00ED504D" w:rsidTr="006C43BF">
        <w:trPr>
          <w:trHeight w:val="254"/>
          <w:jc w:val="center"/>
        </w:trPr>
        <w:tc>
          <w:tcPr>
            <w:tcW w:w="1134" w:type="dxa"/>
            <w:vMerge w:val="restart"/>
            <w:vAlign w:val="center"/>
          </w:tcPr>
          <w:p w:rsidR="001F7A12" w:rsidRPr="00ED504D" w:rsidRDefault="001F7A12" w:rsidP="006C43BF">
            <w:pPr>
              <w:rPr>
                <w:rFonts w:ascii="Calibri" w:hAnsi="Calibri"/>
                <w:color w:val="000000"/>
                <w:sz w:val="18"/>
                <w:szCs w:val="20"/>
              </w:rPr>
            </w:pPr>
            <w:r w:rsidRPr="00ED504D">
              <w:rPr>
                <w:rFonts w:ascii="Calibri" w:hAnsi="Calibri"/>
                <w:color w:val="000000"/>
                <w:sz w:val="18"/>
                <w:szCs w:val="20"/>
              </w:rPr>
              <w:t>Ireland</w:t>
            </w:r>
          </w:p>
        </w:tc>
        <w:tc>
          <w:tcPr>
            <w:tcW w:w="236" w:type="dxa"/>
          </w:tcPr>
          <w:p w:rsidR="001F7A12" w:rsidRPr="00ED504D" w:rsidRDefault="001F7A12" w:rsidP="00E759EB">
            <w:pPr>
              <w:jc w:val="center"/>
              <w:rPr>
                <w:sz w:val="18"/>
                <w:szCs w:val="20"/>
              </w:rPr>
            </w:pPr>
          </w:p>
        </w:tc>
        <w:tc>
          <w:tcPr>
            <w:tcW w:w="1077" w:type="dxa"/>
            <w:vAlign w:val="center"/>
          </w:tcPr>
          <w:p w:rsidR="001F7A12" w:rsidRPr="001F7A12" w:rsidRDefault="001F7A12">
            <w:pPr>
              <w:rPr>
                <w:rFonts w:ascii="Calibri" w:hAnsi="Calibri"/>
                <w:color w:val="000000"/>
                <w:sz w:val="18"/>
                <w:szCs w:val="20"/>
              </w:rPr>
            </w:pPr>
            <w:r w:rsidRPr="001F7A12">
              <w:rPr>
                <w:rFonts w:ascii="Calibri" w:hAnsi="Calibri"/>
                <w:color w:val="000000"/>
                <w:sz w:val="18"/>
                <w:szCs w:val="20"/>
              </w:rPr>
              <w:t>NA</w:t>
            </w:r>
          </w:p>
        </w:tc>
        <w:tc>
          <w:tcPr>
            <w:tcW w:w="1077" w:type="dxa"/>
            <w:vAlign w:val="center"/>
          </w:tcPr>
          <w:p w:rsidR="001F7A12" w:rsidRPr="001F7A12" w:rsidRDefault="001F7A12">
            <w:pPr>
              <w:rPr>
                <w:rFonts w:ascii="Calibri" w:hAnsi="Calibri"/>
                <w:b/>
                <w:bCs/>
                <w:color w:val="FF0000"/>
                <w:sz w:val="18"/>
                <w:szCs w:val="20"/>
              </w:rPr>
            </w:pPr>
            <w:r w:rsidRPr="001F7A12">
              <w:rPr>
                <w:rFonts w:ascii="Calibri" w:hAnsi="Calibri"/>
                <w:b/>
                <w:bCs/>
                <w:color w:val="FF0000"/>
                <w:sz w:val="18"/>
                <w:szCs w:val="20"/>
              </w:rPr>
              <w:t>-0.825 ***</w:t>
            </w:r>
          </w:p>
        </w:tc>
        <w:tc>
          <w:tcPr>
            <w:tcW w:w="1077" w:type="dxa"/>
            <w:vAlign w:val="center"/>
          </w:tcPr>
          <w:p w:rsidR="001F7A12" w:rsidRPr="001F7A12" w:rsidRDefault="001F7A12">
            <w:pPr>
              <w:rPr>
                <w:rFonts w:ascii="Calibri" w:hAnsi="Calibri"/>
                <w:color w:val="000000"/>
                <w:sz w:val="18"/>
                <w:szCs w:val="20"/>
              </w:rPr>
            </w:pPr>
            <w:r w:rsidRPr="001F7A12">
              <w:rPr>
                <w:rFonts w:ascii="Calibri" w:hAnsi="Calibri"/>
                <w:color w:val="000000"/>
                <w:sz w:val="18"/>
                <w:szCs w:val="20"/>
              </w:rPr>
              <w:t>-0.666</w:t>
            </w:r>
          </w:p>
        </w:tc>
        <w:tc>
          <w:tcPr>
            <w:tcW w:w="1078" w:type="dxa"/>
            <w:vAlign w:val="center"/>
          </w:tcPr>
          <w:p w:rsidR="001F7A12" w:rsidRPr="001F7A12" w:rsidRDefault="001F7A12">
            <w:pPr>
              <w:rPr>
                <w:rFonts w:ascii="Calibri" w:hAnsi="Calibri"/>
                <w:color w:val="000000"/>
                <w:sz w:val="18"/>
                <w:szCs w:val="20"/>
              </w:rPr>
            </w:pPr>
            <w:r w:rsidRPr="001F7A12">
              <w:rPr>
                <w:rFonts w:ascii="Calibri" w:hAnsi="Calibri"/>
                <w:color w:val="000000"/>
                <w:sz w:val="18"/>
                <w:szCs w:val="20"/>
              </w:rPr>
              <w:t>-1.358</w:t>
            </w:r>
          </w:p>
        </w:tc>
        <w:tc>
          <w:tcPr>
            <w:tcW w:w="236" w:type="dxa"/>
          </w:tcPr>
          <w:p w:rsidR="001F7A12" w:rsidRPr="00ED504D" w:rsidRDefault="001F7A12" w:rsidP="00E759EB">
            <w:pPr>
              <w:rPr>
                <w:rFonts w:ascii="Calibri" w:hAnsi="Calibri"/>
                <w:color w:val="000000"/>
                <w:sz w:val="18"/>
              </w:rPr>
            </w:pPr>
          </w:p>
        </w:tc>
        <w:tc>
          <w:tcPr>
            <w:tcW w:w="1077" w:type="dxa"/>
            <w:vAlign w:val="center"/>
          </w:tcPr>
          <w:p w:rsidR="001F7A12" w:rsidRPr="001F7A12" w:rsidRDefault="001F7A12">
            <w:pPr>
              <w:rPr>
                <w:rFonts w:ascii="Calibri" w:hAnsi="Calibri"/>
                <w:color w:val="000000"/>
                <w:sz w:val="18"/>
                <w:szCs w:val="20"/>
              </w:rPr>
            </w:pPr>
            <w:r w:rsidRPr="001F7A12">
              <w:rPr>
                <w:rFonts w:ascii="Calibri" w:hAnsi="Calibri"/>
                <w:color w:val="000000"/>
                <w:sz w:val="18"/>
                <w:szCs w:val="20"/>
              </w:rPr>
              <w:t>NA</w:t>
            </w:r>
          </w:p>
        </w:tc>
        <w:tc>
          <w:tcPr>
            <w:tcW w:w="1077" w:type="dxa"/>
            <w:vAlign w:val="center"/>
          </w:tcPr>
          <w:p w:rsidR="001F7A12" w:rsidRPr="001F7A12" w:rsidRDefault="001F7A12">
            <w:pPr>
              <w:rPr>
                <w:rFonts w:ascii="Calibri" w:hAnsi="Calibri"/>
                <w:b/>
                <w:bCs/>
                <w:color w:val="FF0000"/>
                <w:sz w:val="18"/>
                <w:szCs w:val="20"/>
              </w:rPr>
            </w:pPr>
            <w:r w:rsidRPr="001F7A12">
              <w:rPr>
                <w:rFonts w:ascii="Calibri" w:hAnsi="Calibri"/>
                <w:b/>
                <w:bCs/>
                <w:color w:val="FF0000"/>
                <w:sz w:val="18"/>
                <w:szCs w:val="20"/>
              </w:rPr>
              <w:t>-1.721 ***</w:t>
            </w:r>
          </w:p>
        </w:tc>
        <w:tc>
          <w:tcPr>
            <w:tcW w:w="1077" w:type="dxa"/>
            <w:vAlign w:val="center"/>
          </w:tcPr>
          <w:p w:rsidR="001F7A12" w:rsidRPr="001F7A12" w:rsidRDefault="001F7A12">
            <w:pPr>
              <w:rPr>
                <w:rFonts w:ascii="Calibri" w:hAnsi="Calibri"/>
                <w:b/>
                <w:bCs/>
                <w:color w:val="548DD4"/>
                <w:sz w:val="18"/>
                <w:szCs w:val="20"/>
              </w:rPr>
            </w:pPr>
            <w:r w:rsidRPr="001F7A12">
              <w:rPr>
                <w:rFonts w:ascii="Calibri" w:hAnsi="Calibri"/>
                <w:b/>
                <w:bCs/>
                <w:color w:val="548DD4"/>
                <w:sz w:val="18"/>
                <w:szCs w:val="20"/>
              </w:rPr>
              <w:t>0.997 *</w:t>
            </w:r>
          </w:p>
        </w:tc>
        <w:tc>
          <w:tcPr>
            <w:tcW w:w="1078" w:type="dxa"/>
            <w:vAlign w:val="center"/>
          </w:tcPr>
          <w:p w:rsidR="001F7A12" w:rsidRPr="001F7A12" w:rsidRDefault="001F7A12">
            <w:pPr>
              <w:rPr>
                <w:rFonts w:ascii="Calibri" w:hAnsi="Calibri"/>
                <w:color w:val="000000"/>
                <w:sz w:val="18"/>
                <w:szCs w:val="20"/>
              </w:rPr>
            </w:pPr>
            <w:r w:rsidRPr="001F7A12">
              <w:rPr>
                <w:rFonts w:ascii="Calibri" w:hAnsi="Calibri"/>
                <w:color w:val="000000"/>
                <w:sz w:val="18"/>
                <w:szCs w:val="20"/>
              </w:rPr>
              <w:t>0.190</w:t>
            </w:r>
          </w:p>
        </w:tc>
        <w:tc>
          <w:tcPr>
            <w:tcW w:w="236" w:type="dxa"/>
          </w:tcPr>
          <w:p w:rsidR="001F7A12" w:rsidRPr="00ED504D" w:rsidRDefault="001F7A12" w:rsidP="00E759EB">
            <w:pPr>
              <w:rPr>
                <w:rFonts w:ascii="Calibri" w:hAnsi="Calibri"/>
                <w:color w:val="000000"/>
                <w:sz w:val="18"/>
              </w:rPr>
            </w:pPr>
          </w:p>
        </w:tc>
        <w:tc>
          <w:tcPr>
            <w:tcW w:w="1077" w:type="dxa"/>
            <w:vAlign w:val="center"/>
          </w:tcPr>
          <w:p w:rsidR="001F7A12" w:rsidRPr="001F7A12" w:rsidRDefault="001F7A12">
            <w:pPr>
              <w:rPr>
                <w:rFonts w:ascii="Calibri" w:hAnsi="Calibri"/>
                <w:color w:val="000000"/>
                <w:sz w:val="18"/>
                <w:szCs w:val="20"/>
              </w:rPr>
            </w:pPr>
            <w:r w:rsidRPr="001F7A12">
              <w:rPr>
                <w:rFonts w:ascii="Calibri" w:hAnsi="Calibri"/>
                <w:color w:val="000000"/>
                <w:sz w:val="18"/>
                <w:szCs w:val="20"/>
              </w:rPr>
              <w:t>NA</w:t>
            </w:r>
          </w:p>
        </w:tc>
        <w:tc>
          <w:tcPr>
            <w:tcW w:w="1077" w:type="dxa"/>
            <w:vAlign w:val="center"/>
          </w:tcPr>
          <w:p w:rsidR="001F7A12" w:rsidRPr="001F7A12" w:rsidRDefault="001F7A12">
            <w:pPr>
              <w:rPr>
                <w:rFonts w:ascii="Calibri" w:hAnsi="Calibri"/>
                <w:b/>
                <w:bCs/>
                <w:color w:val="FF0000"/>
                <w:sz w:val="18"/>
                <w:szCs w:val="20"/>
              </w:rPr>
            </w:pPr>
            <w:r w:rsidRPr="001F7A12">
              <w:rPr>
                <w:rFonts w:ascii="Calibri" w:hAnsi="Calibri"/>
                <w:b/>
                <w:bCs/>
                <w:color w:val="FF0000"/>
                <w:sz w:val="18"/>
                <w:szCs w:val="20"/>
              </w:rPr>
              <w:t>-1.519 ***</w:t>
            </w:r>
          </w:p>
        </w:tc>
        <w:tc>
          <w:tcPr>
            <w:tcW w:w="1077" w:type="dxa"/>
            <w:vAlign w:val="center"/>
          </w:tcPr>
          <w:p w:rsidR="001F7A12" w:rsidRPr="001F7A12" w:rsidRDefault="001F7A12">
            <w:pPr>
              <w:rPr>
                <w:rFonts w:ascii="Calibri" w:hAnsi="Calibri"/>
                <w:b/>
                <w:bCs/>
                <w:color w:val="548DD4"/>
                <w:sz w:val="18"/>
                <w:szCs w:val="20"/>
              </w:rPr>
            </w:pPr>
            <w:r w:rsidRPr="001F7A12">
              <w:rPr>
                <w:rFonts w:ascii="Calibri" w:hAnsi="Calibri"/>
                <w:b/>
                <w:bCs/>
                <w:color w:val="548DD4"/>
                <w:sz w:val="18"/>
                <w:szCs w:val="20"/>
              </w:rPr>
              <w:t>1.120 *</w:t>
            </w:r>
          </w:p>
        </w:tc>
        <w:tc>
          <w:tcPr>
            <w:tcW w:w="1078" w:type="dxa"/>
            <w:gridSpan w:val="2"/>
            <w:vAlign w:val="center"/>
          </w:tcPr>
          <w:p w:rsidR="001F7A12" w:rsidRPr="001F7A12" w:rsidRDefault="001F7A12">
            <w:pPr>
              <w:rPr>
                <w:rFonts w:ascii="Calibri" w:hAnsi="Calibri"/>
                <w:color w:val="000000"/>
                <w:sz w:val="18"/>
                <w:szCs w:val="20"/>
              </w:rPr>
            </w:pPr>
            <w:r w:rsidRPr="001F7A12">
              <w:rPr>
                <w:rFonts w:ascii="Calibri" w:hAnsi="Calibri"/>
                <w:color w:val="000000"/>
                <w:sz w:val="18"/>
                <w:szCs w:val="20"/>
              </w:rPr>
              <w:t>0.458</w:t>
            </w:r>
          </w:p>
        </w:tc>
      </w:tr>
      <w:tr w:rsidR="001F7A12" w:rsidRPr="00ED504D" w:rsidTr="006C43BF">
        <w:trPr>
          <w:trHeight w:val="254"/>
          <w:jc w:val="center"/>
        </w:trPr>
        <w:tc>
          <w:tcPr>
            <w:tcW w:w="1134" w:type="dxa"/>
            <w:vMerge/>
            <w:vAlign w:val="center"/>
          </w:tcPr>
          <w:p w:rsidR="001F7A12" w:rsidRPr="00ED504D" w:rsidRDefault="001F7A12" w:rsidP="006C43BF">
            <w:pPr>
              <w:rPr>
                <w:rFonts w:ascii="Calibri" w:hAnsi="Calibri"/>
                <w:color w:val="000000"/>
                <w:sz w:val="18"/>
                <w:szCs w:val="20"/>
              </w:rPr>
            </w:pPr>
          </w:p>
        </w:tc>
        <w:tc>
          <w:tcPr>
            <w:tcW w:w="236" w:type="dxa"/>
          </w:tcPr>
          <w:p w:rsidR="001F7A12" w:rsidRPr="00ED504D" w:rsidRDefault="001F7A12" w:rsidP="00E759EB">
            <w:pPr>
              <w:jc w:val="center"/>
              <w:rPr>
                <w:sz w:val="18"/>
                <w:szCs w:val="20"/>
              </w:rPr>
            </w:pPr>
          </w:p>
        </w:tc>
        <w:tc>
          <w:tcPr>
            <w:tcW w:w="1077" w:type="dxa"/>
            <w:vAlign w:val="center"/>
          </w:tcPr>
          <w:p w:rsidR="001F7A12" w:rsidRPr="001F7A12" w:rsidRDefault="001F7A12">
            <w:pPr>
              <w:jc w:val="right"/>
              <w:rPr>
                <w:rFonts w:ascii="Calibri" w:hAnsi="Calibri"/>
                <w:color w:val="000000"/>
                <w:sz w:val="18"/>
                <w:szCs w:val="18"/>
              </w:rPr>
            </w:pPr>
            <w:r w:rsidRPr="001F7A12">
              <w:rPr>
                <w:rFonts w:ascii="Calibri" w:hAnsi="Calibri"/>
                <w:color w:val="000000"/>
                <w:sz w:val="18"/>
                <w:szCs w:val="18"/>
              </w:rPr>
              <w:t>NA</w:t>
            </w:r>
          </w:p>
        </w:tc>
        <w:tc>
          <w:tcPr>
            <w:tcW w:w="1077" w:type="dxa"/>
            <w:vAlign w:val="center"/>
          </w:tcPr>
          <w:p w:rsidR="001F7A12" w:rsidRPr="001F7A12" w:rsidRDefault="001F7A12">
            <w:pPr>
              <w:jc w:val="right"/>
              <w:rPr>
                <w:rFonts w:ascii="Calibri" w:hAnsi="Calibri"/>
                <w:color w:val="000000"/>
                <w:sz w:val="18"/>
                <w:szCs w:val="18"/>
              </w:rPr>
            </w:pPr>
            <w:r w:rsidRPr="001F7A12">
              <w:rPr>
                <w:rFonts w:ascii="Calibri" w:hAnsi="Calibri"/>
                <w:color w:val="000000"/>
                <w:sz w:val="18"/>
                <w:szCs w:val="18"/>
              </w:rPr>
              <w:t>1.85%</w:t>
            </w:r>
          </w:p>
        </w:tc>
        <w:tc>
          <w:tcPr>
            <w:tcW w:w="1077" w:type="dxa"/>
            <w:vAlign w:val="center"/>
          </w:tcPr>
          <w:p w:rsidR="001F7A12" w:rsidRPr="001F7A12" w:rsidRDefault="001F7A12">
            <w:pPr>
              <w:jc w:val="right"/>
              <w:rPr>
                <w:rFonts w:ascii="Calibri" w:hAnsi="Calibri"/>
                <w:color w:val="000000"/>
                <w:sz w:val="18"/>
                <w:szCs w:val="18"/>
              </w:rPr>
            </w:pPr>
            <w:r w:rsidRPr="001F7A12">
              <w:rPr>
                <w:rFonts w:ascii="Calibri" w:hAnsi="Calibri"/>
                <w:color w:val="000000"/>
                <w:sz w:val="18"/>
                <w:szCs w:val="18"/>
              </w:rPr>
              <w:t>0.01%</w:t>
            </w:r>
          </w:p>
        </w:tc>
        <w:tc>
          <w:tcPr>
            <w:tcW w:w="1078" w:type="dxa"/>
            <w:vAlign w:val="center"/>
          </w:tcPr>
          <w:p w:rsidR="001F7A12" w:rsidRPr="001F7A12" w:rsidRDefault="001F7A12">
            <w:pPr>
              <w:jc w:val="right"/>
              <w:rPr>
                <w:rFonts w:ascii="Calibri" w:hAnsi="Calibri"/>
                <w:color w:val="000000"/>
                <w:sz w:val="18"/>
                <w:szCs w:val="18"/>
              </w:rPr>
            </w:pPr>
            <w:r w:rsidRPr="001F7A12">
              <w:rPr>
                <w:rFonts w:ascii="Calibri" w:hAnsi="Calibri"/>
                <w:color w:val="000000"/>
                <w:sz w:val="18"/>
                <w:szCs w:val="18"/>
              </w:rPr>
              <w:t>0.22%</w:t>
            </w:r>
          </w:p>
        </w:tc>
        <w:tc>
          <w:tcPr>
            <w:tcW w:w="236" w:type="dxa"/>
          </w:tcPr>
          <w:p w:rsidR="001F7A12" w:rsidRPr="006B31B1" w:rsidRDefault="001F7A12" w:rsidP="00E759EB">
            <w:pPr>
              <w:rPr>
                <w:rFonts w:ascii="Calibri" w:hAnsi="Calibri"/>
                <w:color w:val="000000"/>
                <w:sz w:val="18"/>
              </w:rPr>
            </w:pPr>
          </w:p>
        </w:tc>
        <w:tc>
          <w:tcPr>
            <w:tcW w:w="1077" w:type="dxa"/>
            <w:vAlign w:val="center"/>
          </w:tcPr>
          <w:p w:rsidR="001F7A12" w:rsidRPr="001F7A12" w:rsidRDefault="001F7A12">
            <w:pPr>
              <w:jc w:val="right"/>
              <w:rPr>
                <w:rFonts w:ascii="Calibri" w:hAnsi="Calibri"/>
                <w:color w:val="000000"/>
                <w:sz w:val="18"/>
                <w:szCs w:val="18"/>
              </w:rPr>
            </w:pPr>
            <w:r w:rsidRPr="001F7A12">
              <w:rPr>
                <w:rFonts w:ascii="Calibri" w:hAnsi="Calibri"/>
                <w:color w:val="000000"/>
                <w:sz w:val="18"/>
                <w:szCs w:val="18"/>
              </w:rPr>
              <w:t>NA</w:t>
            </w:r>
          </w:p>
        </w:tc>
        <w:tc>
          <w:tcPr>
            <w:tcW w:w="1077" w:type="dxa"/>
            <w:vAlign w:val="center"/>
          </w:tcPr>
          <w:p w:rsidR="001F7A12" w:rsidRPr="001F7A12" w:rsidRDefault="001F7A12">
            <w:pPr>
              <w:jc w:val="right"/>
              <w:rPr>
                <w:rFonts w:ascii="Calibri" w:hAnsi="Calibri"/>
                <w:color w:val="000000"/>
                <w:sz w:val="18"/>
                <w:szCs w:val="18"/>
              </w:rPr>
            </w:pPr>
            <w:r w:rsidRPr="001F7A12">
              <w:rPr>
                <w:rFonts w:ascii="Calibri" w:hAnsi="Calibri"/>
                <w:color w:val="000000"/>
                <w:sz w:val="18"/>
                <w:szCs w:val="18"/>
              </w:rPr>
              <w:t>15.46%</w:t>
            </w:r>
          </w:p>
        </w:tc>
        <w:tc>
          <w:tcPr>
            <w:tcW w:w="1077" w:type="dxa"/>
            <w:vAlign w:val="center"/>
          </w:tcPr>
          <w:p w:rsidR="001F7A12" w:rsidRPr="001F7A12" w:rsidRDefault="001F7A12">
            <w:pPr>
              <w:jc w:val="right"/>
              <w:rPr>
                <w:rFonts w:ascii="Calibri" w:hAnsi="Calibri"/>
                <w:color w:val="000000"/>
                <w:sz w:val="18"/>
                <w:szCs w:val="18"/>
              </w:rPr>
            </w:pPr>
            <w:r w:rsidRPr="001F7A12">
              <w:rPr>
                <w:rFonts w:ascii="Calibri" w:hAnsi="Calibri"/>
                <w:color w:val="000000"/>
                <w:sz w:val="18"/>
                <w:szCs w:val="18"/>
              </w:rPr>
              <w:t>0.39%</w:t>
            </w:r>
          </w:p>
        </w:tc>
        <w:tc>
          <w:tcPr>
            <w:tcW w:w="1078" w:type="dxa"/>
            <w:vAlign w:val="center"/>
          </w:tcPr>
          <w:p w:rsidR="001F7A12" w:rsidRPr="001F7A12" w:rsidRDefault="001F7A12">
            <w:pPr>
              <w:jc w:val="right"/>
              <w:rPr>
                <w:rFonts w:ascii="Calibri" w:hAnsi="Calibri"/>
                <w:color w:val="000000"/>
                <w:sz w:val="18"/>
                <w:szCs w:val="18"/>
              </w:rPr>
            </w:pPr>
            <w:r w:rsidRPr="001F7A12">
              <w:rPr>
                <w:rFonts w:ascii="Calibri" w:hAnsi="Calibri"/>
                <w:color w:val="000000"/>
                <w:sz w:val="18"/>
                <w:szCs w:val="18"/>
              </w:rPr>
              <w:t>0.01%</w:t>
            </w:r>
          </w:p>
        </w:tc>
        <w:tc>
          <w:tcPr>
            <w:tcW w:w="236" w:type="dxa"/>
          </w:tcPr>
          <w:p w:rsidR="001F7A12" w:rsidRPr="006B31B1" w:rsidRDefault="001F7A12" w:rsidP="00E759EB">
            <w:pPr>
              <w:rPr>
                <w:rFonts w:ascii="Calibri" w:hAnsi="Calibri"/>
                <w:color w:val="000000"/>
                <w:sz w:val="18"/>
              </w:rPr>
            </w:pPr>
          </w:p>
        </w:tc>
        <w:tc>
          <w:tcPr>
            <w:tcW w:w="1077" w:type="dxa"/>
            <w:vAlign w:val="center"/>
          </w:tcPr>
          <w:p w:rsidR="001F7A12" w:rsidRPr="001F7A12" w:rsidRDefault="001F7A12">
            <w:pPr>
              <w:jc w:val="right"/>
              <w:rPr>
                <w:rFonts w:ascii="Calibri" w:hAnsi="Calibri"/>
                <w:color w:val="000000"/>
                <w:sz w:val="18"/>
                <w:szCs w:val="18"/>
              </w:rPr>
            </w:pPr>
            <w:r w:rsidRPr="001F7A12">
              <w:rPr>
                <w:rFonts w:ascii="Calibri" w:hAnsi="Calibri"/>
                <w:color w:val="000000"/>
                <w:sz w:val="18"/>
                <w:szCs w:val="18"/>
              </w:rPr>
              <w:t>NA</w:t>
            </w:r>
          </w:p>
        </w:tc>
        <w:tc>
          <w:tcPr>
            <w:tcW w:w="1077" w:type="dxa"/>
            <w:vAlign w:val="center"/>
          </w:tcPr>
          <w:p w:rsidR="001F7A12" w:rsidRPr="001F7A12" w:rsidRDefault="001F7A12">
            <w:pPr>
              <w:jc w:val="right"/>
              <w:rPr>
                <w:rFonts w:ascii="Calibri" w:hAnsi="Calibri"/>
                <w:color w:val="000000"/>
                <w:sz w:val="18"/>
                <w:szCs w:val="18"/>
              </w:rPr>
            </w:pPr>
            <w:r w:rsidRPr="001F7A12">
              <w:rPr>
                <w:rFonts w:ascii="Calibri" w:hAnsi="Calibri"/>
                <w:color w:val="000000"/>
                <w:sz w:val="18"/>
                <w:szCs w:val="18"/>
              </w:rPr>
              <w:t>10.34%</w:t>
            </w:r>
          </w:p>
        </w:tc>
        <w:tc>
          <w:tcPr>
            <w:tcW w:w="1077" w:type="dxa"/>
            <w:vAlign w:val="center"/>
          </w:tcPr>
          <w:p w:rsidR="001F7A12" w:rsidRPr="001F7A12" w:rsidRDefault="001F7A12">
            <w:pPr>
              <w:jc w:val="right"/>
              <w:rPr>
                <w:rFonts w:ascii="Calibri" w:hAnsi="Calibri"/>
                <w:color w:val="000000"/>
                <w:sz w:val="18"/>
                <w:szCs w:val="18"/>
              </w:rPr>
            </w:pPr>
            <w:r w:rsidRPr="001F7A12">
              <w:rPr>
                <w:rFonts w:ascii="Calibri" w:hAnsi="Calibri"/>
                <w:color w:val="000000"/>
                <w:sz w:val="18"/>
                <w:szCs w:val="18"/>
              </w:rPr>
              <w:t>0.50%</w:t>
            </w:r>
          </w:p>
        </w:tc>
        <w:tc>
          <w:tcPr>
            <w:tcW w:w="1078" w:type="dxa"/>
            <w:gridSpan w:val="2"/>
            <w:vAlign w:val="center"/>
          </w:tcPr>
          <w:p w:rsidR="001F7A12" w:rsidRPr="001F7A12" w:rsidRDefault="001F7A12">
            <w:pPr>
              <w:jc w:val="right"/>
              <w:rPr>
                <w:rFonts w:ascii="Calibri" w:hAnsi="Calibri"/>
                <w:color w:val="000000"/>
                <w:sz w:val="18"/>
                <w:szCs w:val="18"/>
              </w:rPr>
            </w:pPr>
            <w:r w:rsidRPr="001F7A12">
              <w:rPr>
                <w:rFonts w:ascii="Calibri" w:hAnsi="Calibri"/>
                <w:color w:val="000000"/>
                <w:sz w:val="18"/>
                <w:szCs w:val="18"/>
              </w:rPr>
              <w:t>0.15%</w:t>
            </w:r>
          </w:p>
        </w:tc>
      </w:tr>
      <w:tr w:rsidR="001F7A12" w:rsidRPr="00ED504D" w:rsidTr="006C43BF">
        <w:trPr>
          <w:trHeight w:val="254"/>
          <w:jc w:val="center"/>
        </w:trPr>
        <w:tc>
          <w:tcPr>
            <w:tcW w:w="1134" w:type="dxa"/>
            <w:vMerge w:val="restart"/>
            <w:vAlign w:val="center"/>
          </w:tcPr>
          <w:p w:rsidR="001F7A12" w:rsidRPr="00ED504D" w:rsidRDefault="001F7A12" w:rsidP="006C43BF">
            <w:pPr>
              <w:rPr>
                <w:rFonts w:ascii="Calibri" w:hAnsi="Calibri"/>
                <w:color w:val="000000"/>
                <w:sz w:val="18"/>
                <w:szCs w:val="20"/>
              </w:rPr>
            </w:pPr>
            <w:r w:rsidRPr="00ED504D">
              <w:rPr>
                <w:rFonts w:ascii="Calibri" w:hAnsi="Calibri"/>
                <w:color w:val="000000"/>
                <w:sz w:val="18"/>
                <w:szCs w:val="20"/>
              </w:rPr>
              <w:t>Greece</w:t>
            </w:r>
          </w:p>
        </w:tc>
        <w:tc>
          <w:tcPr>
            <w:tcW w:w="236" w:type="dxa"/>
          </w:tcPr>
          <w:p w:rsidR="001F7A12" w:rsidRPr="00ED504D" w:rsidRDefault="001F7A12" w:rsidP="00E759EB">
            <w:pPr>
              <w:jc w:val="center"/>
              <w:rPr>
                <w:sz w:val="18"/>
                <w:szCs w:val="20"/>
              </w:rPr>
            </w:pPr>
          </w:p>
        </w:tc>
        <w:tc>
          <w:tcPr>
            <w:tcW w:w="1077" w:type="dxa"/>
            <w:vAlign w:val="center"/>
          </w:tcPr>
          <w:p w:rsidR="001F7A12" w:rsidRPr="001F7A12" w:rsidRDefault="001F7A12">
            <w:pPr>
              <w:rPr>
                <w:rFonts w:ascii="Calibri" w:hAnsi="Calibri"/>
                <w:b/>
                <w:bCs/>
                <w:color w:val="FF0000"/>
                <w:sz w:val="18"/>
                <w:szCs w:val="20"/>
              </w:rPr>
            </w:pPr>
            <w:r w:rsidRPr="001F7A12">
              <w:rPr>
                <w:rFonts w:ascii="Calibri" w:hAnsi="Calibri"/>
                <w:b/>
                <w:bCs/>
                <w:color w:val="FF0000"/>
                <w:sz w:val="18"/>
                <w:szCs w:val="20"/>
              </w:rPr>
              <w:t>-1.035 ***</w:t>
            </w:r>
          </w:p>
        </w:tc>
        <w:tc>
          <w:tcPr>
            <w:tcW w:w="1077" w:type="dxa"/>
            <w:vAlign w:val="center"/>
          </w:tcPr>
          <w:p w:rsidR="001F7A12" w:rsidRPr="001F7A12" w:rsidRDefault="001F7A12">
            <w:pPr>
              <w:rPr>
                <w:rFonts w:ascii="Calibri" w:hAnsi="Calibri"/>
                <w:b/>
                <w:bCs/>
                <w:color w:val="FF0000"/>
                <w:sz w:val="18"/>
                <w:szCs w:val="20"/>
              </w:rPr>
            </w:pPr>
            <w:r w:rsidRPr="001F7A12">
              <w:rPr>
                <w:rFonts w:ascii="Calibri" w:hAnsi="Calibri"/>
                <w:b/>
                <w:bCs/>
                <w:color w:val="FF0000"/>
                <w:sz w:val="18"/>
                <w:szCs w:val="20"/>
              </w:rPr>
              <w:t>-0.685 ***</w:t>
            </w:r>
          </w:p>
        </w:tc>
        <w:tc>
          <w:tcPr>
            <w:tcW w:w="1077" w:type="dxa"/>
            <w:vAlign w:val="center"/>
          </w:tcPr>
          <w:p w:rsidR="001F7A12" w:rsidRPr="001F7A12" w:rsidRDefault="001F7A12">
            <w:pPr>
              <w:rPr>
                <w:rFonts w:ascii="Calibri" w:hAnsi="Calibri"/>
                <w:color w:val="000000"/>
                <w:sz w:val="18"/>
                <w:szCs w:val="20"/>
              </w:rPr>
            </w:pPr>
            <w:r w:rsidRPr="001F7A12">
              <w:rPr>
                <w:rFonts w:ascii="Calibri" w:hAnsi="Calibri"/>
                <w:color w:val="000000"/>
                <w:sz w:val="18"/>
                <w:szCs w:val="20"/>
              </w:rPr>
              <w:t>-2.029</w:t>
            </w:r>
          </w:p>
        </w:tc>
        <w:tc>
          <w:tcPr>
            <w:tcW w:w="1078" w:type="dxa"/>
            <w:vAlign w:val="center"/>
          </w:tcPr>
          <w:p w:rsidR="001F7A12" w:rsidRPr="001F7A12" w:rsidRDefault="001F7A12">
            <w:pPr>
              <w:rPr>
                <w:rFonts w:ascii="Calibri" w:hAnsi="Calibri"/>
                <w:color w:val="000000"/>
                <w:sz w:val="18"/>
                <w:szCs w:val="20"/>
              </w:rPr>
            </w:pPr>
            <w:r w:rsidRPr="001F7A12">
              <w:rPr>
                <w:rFonts w:ascii="Calibri" w:hAnsi="Calibri"/>
                <w:color w:val="000000"/>
                <w:sz w:val="18"/>
                <w:szCs w:val="20"/>
              </w:rPr>
              <w:t>NA</w:t>
            </w:r>
          </w:p>
        </w:tc>
        <w:tc>
          <w:tcPr>
            <w:tcW w:w="236" w:type="dxa"/>
          </w:tcPr>
          <w:p w:rsidR="001F7A12" w:rsidRPr="00ED504D" w:rsidRDefault="001F7A12" w:rsidP="00E759EB">
            <w:pPr>
              <w:rPr>
                <w:rFonts w:ascii="Calibri" w:hAnsi="Calibri"/>
                <w:color w:val="000000"/>
                <w:sz w:val="18"/>
              </w:rPr>
            </w:pPr>
          </w:p>
        </w:tc>
        <w:tc>
          <w:tcPr>
            <w:tcW w:w="1077" w:type="dxa"/>
            <w:vAlign w:val="center"/>
          </w:tcPr>
          <w:p w:rsidR="001F7A12" w:rsidRPr="001F7A12" w:rsidRDefault="001F7A12">
            <w:pPr>
              <w:rPr>
                <w:rFonts w:ascii="Calibri" w:hAnsi="Calibri"/>
                <w:b/>
                <w:bCs/>
                <w:color w:val="FF0000"/>
                <w:sz w:val="18"/>
                <w:szCs w:val="20"/>
              </w:rPr>
            </w:pPr>
            <w:r w:rsidRPr="001F7A12">
              <w:rPr>
                <w:rFonts w:ascii="Calibri" w:hAnsi="Calibri"/>
                <w:b/>
                <w:bCs/>
                <w:color w:val="FF0000"/>
                <w:sz w:val="18"/>
                <w:szCs w:val="20"/>
              </w:rPr>
              <w:t>-2.475 ***</w:t>
            </w:r>
          </w:p>
        </w:tc>
        <w:tc>
          <w:tcPr>
            <w:tcW w:w="1077" w:type="dxa"/>
            <w:vAlign w:val="center"/>
          </w:tcPr>
          <w:p w:rsidR="001F7A12" w:rsidRPr="001F7A12" w:rsidRDefault="001F7A12">
            <w:pPr>
              <w:rPr>
                <w:rFonts w:ascii="Calibri" w:hAnsi="Calibri"/>
                <w:b/>
                <w:bCs/>
                <w:color w:val="FF0000"/>
                <w:sz w:val="18"/>
                <w:szCs w:val="20"/>
              </w:rPr>
            </w:pPr>
            <w:r w:rsidRPr="001F7A12">
              <w:rPr>
                <w:rFonts w:ascii="Calibri" w:hAnsi="Calibri"/>
                <w:b/>
                <w:bCs/>
                <w:color w:val="FF0000"/>
                <w:sz w:val="18"/>
                <w:szCs w:val="20"/>
              </w:rPr>
              <w:t>-1.275 ***</w:t>
            </w:r>
          </w:p>
        </w:tc>
        <w:tc>
          <w:tcPr>
            <w:tcW w:w="1077" w:type="dxa"/>
            <w:vAlign w:val="center"/>
          </w:tcPr>
          <w:p w:rsidR="001F7A12" w:rsidRPr="001F7A12" w:rsidRDefault="001F7A12">
            <w:pPr>
              <w:rPr>
                <w:rFonts w:ascii="Calibri" w:hAnsi="Calibri"/>
                <w:color w:val="000000"/>
                <w:sz w:val="18"/>
                <w:szCs w:val="20"/>
              </w:rPr>
            </w:pPr>
            <w:r w:rsidRPr="001F7A12">
              <w:rPr>
                <w:rFonts w:ascii="Calibri" w:hAnsi="Calibri"/>
                <w:color w:val="000000"/>
                <w:sz w:val="18"/>
                <w:szCs w:val="20"/>
              </w:rPr>
              <w:t>0.828</w:t>
            </w:r>
          </w:p>
        </w:tc>
        <w:tc>
          <w:tcPr>
            <w:tcW w:w="1078" w:type="dxa"/>
            <w:vAlign w:val="center"/>
          </w:tcPr>
          <w:p w:rsidR="001F7A12" w:rsidRPr="001F7A12" w:rsidRDefault="001F7A12">
            <w:pPr>
              <w:rPr>
                <w:rFonts w:ascii="Calibri" w:hAnsi="Calibri"/>
                <w:color w:val="000000"/>
                <w:sz w:val="18"/>
                <w:szCs w:val="20"/>
              </w:rPr>
            </w:pPr>
            <w:r w:rsidRPr="001F7A12">
              <w:rPr>
                <w:rFonts w:ascii="Calibri" w:hAnsi="Calibri"/>
                <w:color w:val="000000"/>
                <w:sz w:val="18"/>
                <w:szCs w:val="20"/>
              </w:rPr>
              <w:t>NA</w:t>
            </w:r>
          </w:p>
        </w:tc>
        <w:tc>
          <w:tcPr>
            <w:tcW w:w="236" w:type="dxa"/>
          </w:tcPr>
          <w:p w:rsidR="001F7A12" w:rsidRPr="00ED504D" w:rsidRDefault="001F7A12" w:rsidP="00E759EB">
            <w:pPr>
              <w:rPr>
                <w:rFonts w:ascii="Calibri" w:hAnsi="Calibri"/>
                <w:color w:val="000000"/>
                <w:sz w:val="18"/>
              </w:rPr>
            </w:pPr>
          </w:p>
        </w:tc>
        <w:tc>
          <w:tcPr>
            <w:tcW w:w="1077" w:type="dxa"/>
            <w:vAlign w:val="center"/>
          </w:tcPr>
          <w:p w:rsidR="001F7A12" w:rsidRPr="001F7A12" w:rsidRDefault="001F7A12">
            <w:pPr>
              <w:rPr>
                <w:rFonts w:ascii="Calibri" w:hAnsi="Calibri"/>
                <w:b/>
                <w:bCs/>
                <w:color w:val="FF0000"/>
                <w:sz w:val="18"/>
                <w:szCs w:val="20"/>
              </w:rPr>
            </w:pPr>
            <w:r w:rsidRPr="001F7A12">
              <w:rPr>
                <w:rFonts w:ascii="Calibri" w:hAnsi="Calibri"/>
                <w:b/>
                <w:bCs/>
                <w:color w:val="FF0000"/>
                <w:sz w:val="18"/>
                <w:szCs w:val="20"/>
              </w:rPr>
              <w:t>-1.948 ***</w:t>
            </w:r>
          </w:p>
        </w:tc>
        <w:tc>
          <w:tcPr>
            <w:tcW w:w="1077" w:type="dxa"/>
            <w:vAlign w:val="center"/>
          </w:tcPr>
          <w:p w:rsidR="001F7A12" w:rsidRPr="001F7A12" w:rsidRDefault="001F7A12">
            <w:pPr>
              <w:rPr>
                <w:rFonts w:ascii="Calibri" w:hAnsi="Calibri"/>
                <w:b/>
                <w:bCs/>
                <w:color w:val="FF0000"/>
                <w:sz w:val="18"/>
                <w:szCs w:val="20"/>
              </w:rPr>
            </w:pPr>
            <w:r w:rsidRPr="001F7A12">
              <w:rPr>
                <w:rFonts w:ascii="Calibri" w:hAnsi="Calibri"/>
                <w:b/>
                <w:bCs/>
                <w:color w:val="FF0000"/>
                <w:sz w:val="18"/>
                <w:szCs w:val="20"/>
              </w:rPr>
              <w:t>-1.037 ***</w:t>
            </w:r>
          </w:p>
        </w:tc>
        <w:tc>
          <w:tcPr>
            <w:tcW w:w="1077" w:type="dxa"/>
            <w:vAlign w:val="center"/>
          </w:tcPr>
          <w:p w:rsidR="001F7A12" w:rsidRPr="001F7A12" w:rsidRDefault="001F7A12">
            <w:pPr>
              <w:rPr>
                <w:rFonts w:ascii="Calibri" w:hAnsi="Calibri"/>
                <w:b/>
                <w:bCs/>
                <w:color w:val="548DD4"/>
                <w:sz w:val="18"/>
                <w:szCs w:val="20"/>
              </w:rPr>
            </w:pPr>
            <w:r w:rsidRPr="001F7A12">
              <w:rPr>
                <w:rFonts w:ascii="Calibri" w:hAnsi="Calibri"/>
                <w:b/>
                <w:bCs/>
                <w:color w:val="548DD4"/>
                <w:sz w:val="18"/>
                <w:szCs w:val="20"/>
              </w:rPr>
              <w:t>1.354 *</w:t>
            </w:r>
          </w:p>
        </w:tc>
        <w:tc>
          <w:tcPr>
            <w:tcW w:w="1078" w:type="dxa"/>
            <w:gridSpan w:val="2"/>
            <w:vAlign w:val="center"/>
          </w:tcPr>
          <w:p w:rsidR="001F7A12" w:rsidRPr="001F7A12" w:rsidRDefault="001F7A12">
            <w:pPr>
              <w:rPr>
                <w:rFonts w:ascii="Calibri" w:hAnsi="Calibri"/>
                <w:color w:val="000000"/>
                <w:sz w:val="18"/>
                <w:szCs w:val="20"/>
              </w:rPr>
            </w:pPr>
            <w:r w:rsidRPr="001F7A12">
              <w:rPr>
                <w:rFonts w:ascii="Calibri" w:hAnsi="Calibri"/>
                <w:color w:val="000000"/>
                <w:sz w:val="18"/>
                <w:szCs w:val="20"/>
              </w:rPr>
              <w:t>NA</w:t>
            </w:r>
          </w:p>
        </w:tc>
      </w:tr>
      <w:tr w:rsidR="001F7A12" w:rsidRPr="00ED504D" w:rsidTr="006C43BF">
        <w:trPr>
          <w:trHeight w:val="254"/>
          <w:jc w:val="center"/>
        </w:trPr>
        <w:tc>
          <w:tcPr>
            <w:tcW w:w="1134" w:type="dxa"/>
            <w:vMerge/>
            <w:tcBorders>
              <w:bottom w:val="single" w:sz="4" w:space="0" w:color="auto"/>
            </w:tcBorders>
            <w:vAlign w:val="center"/>
          </w:tcPr>
          <w:p w:rsidR="001F7A12" w:rsidRPr="00ED504D" w:rsidRDefault="001F7A12" w:rsidP="007404B1">
            <w:pPr>
              <w:rPr>
                <w:rFonts w:ascii="Calibri" w:hAnsi="Calibri"/>
                <w:color w:val="000000"/>
                <w:sz w:val="18"/>
                <w:szCs w:val="20"/>
              </w:rPr>
            </w:pPr>
          </w:p>
        </w:tc>
        <w:tc>
          <w:tcPr>
            <w:tcW w:w="236" w:type="dxa"/>
            <w:tcBorders>
              <w:bottom w:val="single" w:sz="4" w:space="0" w:color="auto"/>
            </w:tcBorders>
          </w:tcPr>
          <w:p w:rsidR="001F7A12" w:rsidRPr="00ED504D" w:rsidRDefault="001F7A12" w:rsidP="00E759EB">
            <w:pPr>
              <w:jc w:val="center"/>
              <w:rPr>
                <w:sz w:val="18"/>
                <w:szCs w:val="20"/>
              </w:rPr>
            </w:pPr>
          </w:p>
        </w:tc>
        <w:tc>
          <w:tcPr>
            <w:tcW w:w="1077" w:type="dxa"/>
            <w:tcBorders>
              <w:bottom w:val="single" w:sz="4" w:space="0" w:color="auto"/>
            </w:tcBorders>
            <w:vAlign w:val="center"/>
          </w:tcPr>
          <w:p w:rsidR="001F7A12" w:rsidRPr="001F7A12" w:rsidRDefault="001F7A12">
            <w:pPr>
              <w:jc w:val="right"/>
              <w:rPr>
                <w:rFonts w:ascii="Calibri" w:hAnsi="Calibri"/>
                <w:color w:val="000000"/>
                <w:sz w:val="18"/>
                <w:szCs w:val="18"/>
              </w:rPr>
            </w:pPr>
            <w:r w:rsidRPr="001F7A12">
              <w:rPr>
                <w:rFonts w:ascii="Calibri" w:hAnsi="Calibri"/>
                <w:color w:val="000000"/>
                <w:sz w:val="18"/>
                <w:szCs w:val="18"/>
              </w:rPr>
              <w:t>3.17%</w:t>
            </w:r>
          </w:p>
        </w:tc>
        <w:tc>
          <w:tcPr>
            <w:tcW w:w="1077" w:type="dxa"/>
            <w:tcBorders>
              <w:bottom w:val="single" w:sz="4" w:space="0" w:color="auto"/>
            </w:tcBorders>
            <w:vAlign w:val="center"/>
          </w:tcPr>
          <w:p w:rsidR="001F7A12" w:rsidRPr="001F7A12" w:rsidRDefault="001F7A12">
            <w:pPr>
              <w:jc w:val="right"/>
              <w:rPr>
                <w:rFonts w:ascii="Calibri" w:hAnsi="Calibri"/>
                <w:color w:val="000000"/>
                <w:sz w:val="18"/>
                <w:szCs w:val="18"/>
              </w:rPr>
            </w:pPr>
            <w:r w:rsidRPr="001F7A12">
              <w:rPr>
                <w:rFonts w:ascii="Calibri" w:hAnsi="Calibri"/>
                <w:color w:val="000000"/>
                <w:sz w:val="18"/>
                <w:szCs w:val="18"/>
              </w:rPr>
              <w:t>1.20%</w:t>
            </w:r>
          </w:p>
        </w:tc>
        <w:tc>
          <w:tcPr>
            <w:tcW w:w="1077" w:type="dxa"/>
            <w:tcBorders>
              <w:bottom w:val="single" w:sz="4" w:space="0" w:color="auto"/>
            </w:tcBorders>
            <w:vAlign w:val="center"/>
          </w:tcPr>
          <w:p w:rsidR="001F7A12" w:rsidRPr="001F7A12" w:rsidRDefault="001F7A12">
            <w:pPr>
              <w:jc w:val="right"/>
              <w:rPr>
                <w:rFonts w:ascii="Calibri" w:hAnsi="Calibri"/>
                <w:color w:val="000000"/>
                <w:sz w:val="18"/>
                <w:szCs w:val="18"/>
              </w:rPr>
            </w:pPr>
            <w:r w:rsidRPr="001F7A12">
              <w:rPr>
                <w:rFonts w:ascii="Calibri" w:hAnsi="Calibri"/>
                <w:color w:val="000000"/>
                <w:sz w:val="18"/>
                <w:szCs w:val="18"/>
              </w:rPr>
              <w:t>0.18%</w:t>
            </w:r>
          </w:p>
        </w:tc>
        <w:tc>
          <w:tcPr>
            <w:tcW w:w="1078" w:type="dxa"/>
            <w:tcBorders>
              <w:bottom w:val="single" w:sz="4" w:space="0" w:color="auto"/>
            </w:tcBorders>
            <w:vAlign w:val="center"/>
          </w:tcPr>
          <w:p w:rsidR="001F7A12" w:rsidRPr="001F7A12" w:rsidRDefault="001F7A12">
            <w:pPr>
              <w:jc w:val="right"/>
              <w:rPr>
                <w:rFonts w:ascii="Calibri" w:hAnsi="Calibri"/>
                <w:color w:val="000000"/>
                <w:sz w:val="18"/>
                <w:szCs w:val="18"/>
              </w:rPr>
            </w:pPr>
            <w:r w:rsidRPr="001F7A12">
              <w:rPr>
                <w:rFonts w:ascii="Calibri" w:hAnsi="Calibri"/>
                <w:color w:val="000000"/>
                <w:sz w:val="18"/>
                <w:szCs w:val="18"/>
              </w:rPr>
              <w:t>NA</w:t>
            </w:r>
          </w:p>
        </w:tc>
        <w:tc>
          <w:tcPr>
            <w:tcW w:w="236" w:type="dxa"/>
            <w:tcBorders>
              <w:bottom w:val="single" w:sz="4" w:space="0" w:color="auto"/>
            </w:tcBorders>
          </w:tcPr>
          <w:p w:rsidR="001F7A12" w:rsidRPr="006B31B1" w:rsidRDefault="001F7A12" w:rsidP="00E759EB">
            <w:pPr>
              <w:rPr>
                <w:rFonts w:ascii="Calibri" w:hAnsi="Calibri"/>
                <w:color w:val="000000"/>
                <w:sz w:val="18"/>
              </w:rPr>
            </w:pPr>
          </w:p>
        </w:tc>
        <w:tc>
          <w:tcPr>
            <w:tcW w:w="1077" w:type="dxa"/>
            <w:tcBorders>
              <w:bottom w:val="single" w:sz="4" w:space="0" w:color="auto"/>
            </w:tcBorders>
            <w:vAlign w:val="center"/>
          </w:tcPr>
          <w:p w:rsidR="001F7A12" w:rsidRPr="001F7A12" w:rsidRDefault="001F7A12">
            <w:pPr>
              <w:jc w:val="right"/>
              <w:rPr>
                <w:rFonts w:ascii="Calibri" w:hAnsi="Calibri"/>
                <w:color w:val="000000"/>
                <w:sz w:val="18"/>
                <w:szCs w:val="18"/>
              </w:rPr>
            </w:pPr>
            <w:r w:rsidRPr="001F7A12">
              <w:rPr>
                <w:rFonts w:ascii="Calibri" w:hAnsi="Calibri"/>
                <w:color w:val="000000"/>
                <w:sz w:val="18"/>
                <w:szCs w:val="18"/>
              </w:rPr>
              <w:t>31.21%</w:t>
            </w:r>
          </w:p>
        </w:tc>
        <w:tc>
          <w:tcPr>
            <w:tcW w:w="1077" w:type="dxa"/>
            <w:tcBorders>
              <w:bottom w:val="single" w:sz="4" w:space="0" w:color="auto"/>
            </w:tcBorders>
            <w:vAlign w:val="center"/>
          </w:tcPr>
          <w:p w:rsidR="001F7A12" w:rsidRPr="001F7A12" w:rsidRDefault="001F7A12">
            <w:pPr>
              <w:jc w:val="right"/>
              <w:rPr>
                <w:rFonts w:ascii="Calibri" w:hAnsi="Calibri"/>
                <w:color w:val="000000"/>
                <w:sz w:val="18"/>
                <w:szCs w:val="18"/>
              </w:rPr>
            </w:pPr>
            <w:r w:rsidRPr="001F7A12">
              <w:rPr>
                <w:rFonts w:ascii="Calibri" w:hAnsi="Calibri"/>
                <w:color w:val="000000"/>
                <w:sz w:val="18"/>
                <w:szCs w:val="18"/>
              </w:rPr>
              <w:t>7.37%</w:t>
            </w:r>
          </w:p>
        </w:tc>
        <w:tc>
          <w:tcPr>
            <w:tcW w:w="1077" w:type="dxa"/>
            <w:tcBorders>
              <w:bottom w:val="single" w:sz="4" w:space="0" w:color="auto"/>
            </w:tcBorders>
            <w:vAlign w:val="center"/>
          </w:tcPr>
          <w:p w:rsidR="001F7A12" w:rsidRPr="001F7A12" w:rsidRDefault="001F7A12">
            <w:pPr>
              <w:jc w:val="right"/>
              <w:rPr>
                <w:rFonts w:ascii="Calibri" w:hAnsi="Calibri"/>
                <w:color w:val="000000"/>
                <w:sz w:val="18"/>
                <w:szCs w:val="18"/>
              </w:rPr>
            </w:pPr>
            <w:r w:rsidRPr="001F7A12">
              <w:rPr>
                <w:rFonts w:ascii="Calibri" w:hAnsi="Calibri"/>
                <w:color w:val="000000"/>
                <w:sz w:val="18"/>
                <w:szCs w:val="18"/>
              </w:rPr>
              <w:t>0.14%</w:t>
            </w:r>
          </w:p>
        </w:tc>
        <w:tc>
          <w:tcPr>
            <w:tcW w:w="1078" w:type="dxa"/>
            <w:tcBorders>
              <w:bottom w:val="single" w:sz="4" w:space="0" w:color="auto"/>
            </w:tcBorders>
            <w:vAlign w:val="center"/>
          </w:tcPr>
          <w:p w:rsidR="001F7A12" w:rsidRPr="001F7A12" w:rsidRDefault="001F7A12">
            <w:pPr>
              <w:jc w:val="right"/>
              <w:rPr>
                <w:rFonts w:ascii="Calibri" w:hAnsi="Calibri"/>
                <w:color w:val="000000"/>
                <w:sz w:val="18"/>
                <w:szCs w:val="18"/>
              </w:rPr>
            </w:pPr>
            <w:r w:rsidRPr="001F7A12">
              <w:rPr>
                <w:rFonts w:ascii="Calibri" w:hAnsi="Calibri"/>
                <w:color w:val="000000"/>
                <w:sz w:val="18"/>
                <w:szCs w:val="18"/>
              </w:rPr>
              <w:t>NA</w:t>
            </w:r>
          </w:p>
        </w:tc>
        <w:tc>
          <w:tcPr>
            <w:tcW w:w="236" w:type="dxa"/>
            <w:tcBorders>
              <w:bottom w:val="single" w:sz="4" w:space="0" w:color="auto"/>
            </w:tcBorders>
          </w:tcPr>
          <w:p w:rsidR="001F7A12" w:rsidRPr="006B31B1" w:rsidRDefault="001F7A12" w:rsidP="00E759EB">
            <w:pPr>
              <w:rPr>
                <w:rFonts w:ascii="Calibri" w:hAnsi="Calibri"/>
                <w:color w:val="000000"/>
                <w:sz w:val="18"/>
              </w:rPr>
            </w:pPr>
          </w:p>
        </w:tc>
        <w:tc>
          <w:tcPr>
            <w:tcW w:w="1077" w:type="dxa"/>
            <w:tcBorders>
              <w:bottom w:val="single" w:sz="4" w:space="0" w:color="auto"/>
            </w:tcBorders>
            <w:vAlign w:val="center"/>
          </w:tcPr>
          <w:p w:rsidR="001F7A12" w:rsidRPr="001F7A12" w:rsidRDefault="001F7A12">
            <w:pPr>
              <w:jc w:val="right"/>
              <w:rPr>
                <w:rFonts w:ascii="Calibri" w:hAnsi="Calibri"/>
                <w:color w:val="000000"/>
                <w:sz w:val="18"/>
                <w:szCs w:val="18"/>
              </w:rPr>
            </w:pPr>
            <w:r w:rsidRPr="001F7A12">
              <w:rPr>
                <w:rFonts w:ascii="Calibri" w:hAnsi="Calibri"/>
                <w:color w:val="000000"/>
                <w:sz w:val="18"/>
                <w:szCs w:val="18"/>
              </w:rPr>
              <w:t>18.51%</w:t>
            </w:r>
          </w:p>
        </w:tc>
        <w:tc>
          <w:tcPr>
            <w:tcW w:w="1077" w:type="dxa"/>
            <w:tcBorders>
              <w:bottom w:val="single" w:sz="4" w:space="0" w:color="auto"/>
            </w:tcBorders>
            <w:vAlign w:val="center"/>
          </w:tcPr>
          <w:p w:rsidR="001F7A12" w:rsidRPr="001F7A12" w:rsidRDefault="001F7A12">
            <w:pPr>
              <w:jc w:val="right"/>
              <w:rPr>
                <w:rFonts w:ascii="Calibri" w:hAnsi="Calibri"/>
                <w:color w:val="000000"/>
                <w:sz w:val="18"/>
                <w:szCs w:val="18"/>
              </w:rPr>
            </w:pPr>
            <w:r w:rsidRPr="001F7A12">
              <w:rPr>
                <w:rFonts w:ascii="Calibri" w:hAnsi="Calibri"/>
                <w:color w:val="000000"/>
                <w:sz w:val="18"/>
                <w:szCs w:val="18"/>
              </w:rPr>
              <w:t>4.26%</w:t>
            </w:r>
          </w:p>
        </w:tc>
        <w:tc>
          <w:tcPr>
            <w:tcW w:w="1077" w:type="dxa"/>
            <w:tcBorders>
              <w:bottom w:val="single" w:sz="4" w:space="0" w:color="auto"/>
            </w:tcBorders>
            <w:vAlign w:val="center"/>
          </w:tcPr>
          <w:p w:rsidR="001F7A12" w:rsidRPr="001F7A12" w:rsidRDefault="001F7A12">
            <w:pPr>
              <w:jc w:val="right"/>
              <w:rPr>
                <w:rFonts w:ascii="Calibri" w:hAnsi="Calibri"/>
                <w:color w:val="000000"/>
                <w:sz w:val="18"/>
                <w:szCs w:val="18"/>
              </w:rPr>
            </w:pPr>
            <w:r w:rsidRPr="001F7A12">
              <w:rPr>
                <w:rFonts w:ascii="Calibri" w:hAnsi="Calibri"/>
                <w:color w:val="000000"/>
                <w:sz w:val="18"/>
                <w:szCs w:val="18"/>
              </w:rPr>
              <w:t>0.37%</w:t>
            </w:r>
          </w:p>
        </w:tc>
        <w:tc>
          <w:tcPr>
            <w:tcW w:w="1078" w:type="dxa"/>
            <w:gridSpan w:val="2"/>
            <w:tcBorders>
              <w:bottom w:val="single" w:sz="4" w:space="0" w:color="auto"/>
            </w:tcBorders>
            <w:vAlign w:val="center"/>
          </w:tcPr>
          <w:p w:rsidR="001F7A12" w:rsidRPr="001F7A12" w:rsidRDefault="001F7A12">
            <w:pPr>
              <w:jc w:val="right"/>
              <w:rPr>
                <w:rFonts w:ascii="Calibri" w:hAnsi="Calibri"/>
                <w:color w:val="000000"/>
                <w:sz w:val="18"/>
                <w:szCs w:val="18"/>
              </w:rPr>
            </w:pPr>
            <w:r w:rsidRPr="001F7A12">
              <w:rPr>
                <w:rFonts w:ascii="Calibri" w:hAnsi="Calibri"/>
                <w:color w:val="000000"/>
                <w:sz w:val="18"/>
                <w:szCs w:val="18"/>
              </w:rPr>
              <w:t>NA</w:t>
            </w:r>
          </w:p>
        </w:tc>
      </w:tr>
    </w:tbl>
    <w:p w:rsidR="00137030" w:rsidRDefault="00137030">
      <w:pPr>
        <w:sectPr w:rsidR="00137030" w:rsidSect="00BE50DA">
          <w:footnotePr>
            <w:numRestart w:val="eachSect"/>
          </w:footnotePr>
          <w:pgSz w:w="16838" w:h="11906" w:orient="landscape"/>
          <w:pgMar w:top="1440" w:right="1440" w:bottom="1440" w:left="1440" w:header="708" w:footer="708" w:gutter="0"/>
          <w:cols w:space="708"/>
          <w:docGrid w:linePitch="360"/>
        </w:sectPr>
      </w:pPr>
    </w:p>
    <w:tbl>
      <w:tblPr>
        <w:tblStyle w:val="Grigliatabella"/>
        <w:tblW w:w="1476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236"/>
        <w:gridCol w:w="1077"/>
        <w:gridCol w:w="1077"/>
        <w:gridCol w:w="1077"/>
        <w:gridCol w:w="1078"/>
        <w:gridCol w:w="236"/>
        <w:gridCol w:w="1077"/>
        <w:gridCol w:w="1077"/>
        <w:gridCol w:w="1077"/>
        <w:gridCol w:w="1078"/>
        <w:gridCol w:w="236"/>
        <w:gridCol w:w="1077"/>
        <w:gridCol w:w="1077"/>
        <w:gridCol w:w="1077"/>
        <w:gridCol w:w="1049"/>
        <w:gridCol w:w="29"/>
      </w:tblGrid>
      <w:tr w:rsidR="006B31B1" w:rsidRPr="00ED504D" w:rsidTr="006C43BF">
        <w:trPr>
          <w:gridAfter w:val="1"/>
          <w:wAfter w:w="29" w:type="dxa"/>
          <w:trHeight w:val="20"/>
          <w:jc w:val="center"/>
        </w:trPr>
        <w:tc>
          <w:tcPr>
            <w:tcW w:w="14740" w:type="dxa"/>
            <w:gridSpan w:val="16"/>
          </w:tcPr>
          <w:p w:rsidR="006B31B1" w:rsidRPr="00ED504D" w:rsidRDefault="006B31B1" w:rsidP="00C85BA7">
            <w:pPr>
              <w:jc w:val="center"/>
              <w:rPr>
                <w:b/>
                <w:sz w:val="18"/>
                <w:szCs w:val="20"/>
              </w:rPr>
            </w:pPr>
            <w:r>
              <w:rPr>
                <w:b/>
                <w:sz w:val="18"/>
                <w:szCs w:val="20"/>
              </w:rPr>
              <w:lastRenderedPageBreak/>
              <w:t xml:space="preserve">Table </w:t>
            </w:r>
            <w:r w:rsidR="00433958">
              <w:rPr>
                <w:b/>
                <w:sz w:val="18"/>
                <w:szCs w:val="20"/>
              </w:rPr>
              <w:t>A</w:t>
            </w:r>
            <w:r>
              <w:rPr>
                <w:b/>
                <w:sz w:val="18"/>
                <w:szCs w:val="20"/>
              </w:rPr>
              <w:t>.2</w:t>
            </w:r>
          </w:p>
          <w:p w:rsidR="006B31B1" w:rsidRPr="00ED504D" w:rsidRDefault="006B31B1" w:rsidP="006B31B1">
            <w:pPr>
              <w:jc w:val="center"/>
              <w:rPr>
                <w:b/>
                <w:sz w:val="18"/>
                <w:szCs w:val="20"/>
              </w:rPr>
            </w:pPr>
            <w:r w:rsidRPr="00ED504D">
              <w:rPr>
                <w:b/>
                <w:sz w:val="18"/>
                <w:szCs w:val="20"/>
              </w:rPr>
              <w:t xml:space="preserve">Regressions of excess sovereign bond returns on changes in the </w:t>
            </w:r>
            <w:r>
              <w:rPr>
                <w:b/>
                <w:sz w:val="18"/>
                <w:szCs w:val="20"/>
              </w:rPr>
              <w:t>LOIS spread</w:t>
            </w:r>
          </w:p>
        </w:tc>
      </w:tr>
      <w:tr w:rsidR="006B31B1" w:rsidRPr="00ED504D" w:rsidTr="006C43BF">
        <w:trPr>
          <w:gridAfter w:val="1"/>
          <w:wAfter w:w="29" w:type="dxa"/>
          <w:trHeight w:val="20"/>
          <w:jc w:val="center"/>
        </w:trPr>
        <w:tc>
          <w:tcPr>
            <w:tcW w:w="14740" w:type="dxa"/>
            <w:gridSpan w:val="16"/>
            <w:tcBorders>
              <w:bottom w:val="single" w:sz="4" w:space="0" w:color="auto"/>
            </w:tcBorders>
          </w:tcPr>
          <w:p w:rsidR="006B31B1" w:rsidRPr="00ED504D" w:rsidRDefault="006B31B1" w:rsidP="00C85BA7">
            <w:pPr>
              <w:autoSpaceDE w:val="0"/>
              <w:autoSpaceDN w:val="0"/>
              <w:adjustRightInd w:val="0"/>
              <w:jc w:val="both"/>
              <w:rPr>
                <w:sz w:val="18"/>
                <w:szCs w:val="20"/>
              </w:rPr>
            </w:pPr>
            <w:r w:rsidRPr="00ED504D">
              <w:rPr>
                <w:sz w:val="18"/>
                <w:szCs w:val="20"/>
              </w:rPr>
              <w:t xml:space="preserve">This table reports the coefficients of the international risk factor estimated with the following pooled regression model: </w:t>
            </w:r>
          </w:p>
          <w:p w:rsidR="006B31B1" w:rsidRPr="00ED504D" w:rsidRDefault="00CE06E1" w:rsidP="00C85BA7">
            <w:pPr>
              <w:autoSpaceDE w:val="0"/>
              <w:autoSpaceDN w:val="0"/>
              <w:adjustRightInd w:val="0"/>
              <w:jc w:val="both"/>
              <w:rPr>
                <w:sz w:val="18"/>
              </w:rPr>
            </w:pPr>
            <m:oMathPara>
              <m:oMath>
                <m:sSub>
                  <m:sSubPr>
                    <m:ctrlPr>
                      <w:rPr>
                        <w:rFonts w:ascii="Cambria Math" w:hAnsi="Cambria Math"/>
                        <w:i/>
                        <w:sz w:val="18"/>
                      </w:rPr>
                    </m:ctrlPr>
                  </m:sSubPr>
                  <m:e>
                    <m:r>
                      <w:rPr>
                        <w:rFonts w:ascii="Cambria Math" w:hAnsi="Cambria Math"/>
                        <w:sz w:val="18"/>
                      </w:rPr>
                      <m:t>RB</m:t>
                    </m:r>
                  </m:e>
                  <m:sub>
                    <m:r>
                      <w:rPr>
                        <w:rFonts w:ascii="Cambria Math" w:hAnsi="Cambria Math"/>
                        <w:sz w:val="18"/>
                      </w:rPr>
                      <m:t>i,cr,t</m:t>
                    </m:r>
                  </m:sub>
                </m:sSub>
                <m:r>
                  <w:rPr>
                    <w:rFonts w:ascii="Cambria Math" w:hAnsi="Cambria Math"/>
                    <w:sz w:val="18"/>
                  </w:rPr>
                  <m:t>-</m:t>
                </m:r>
                <m:sSub>
                  <m:sSubPr>
                    <m:ctrlPr>
                      <w:rPr>
                        <w:rFonts w:ascii="Cambria Math" w:hAnsi="Cambria Math"/>
                        <w:i/>
                        <w:sz w:val="18"/>
                      </w:rPr>
                    </m:ctrlPr>
                  </m:sSubPr>
                  <m:e>
                    <m:r>
                      <w:rPr>
                        <w:rFonts w:ascii="Cambria Math" w:hAnsi="Cambria Math"/>
                        <w:sz w:val="18"/>
                      </w:rPr>
                      <m:t>RECB</m:t>
                    </m:r>
                  </m:e>
                  <m:sub>
                    <m:r>
                      <w:rPr>
                        <w:rFonts w:ascii="Cambria Math" w:hAnsi="Cambria Math"/>
                        <w:sz w:val="18"/>
                      </w:rPr>
                      <m:t>t</m:t>
                    </m:r>
                  </m:sub>
                </m:sSub>
                <m:r>
                  <w:rPr>
                    <w:rFonts w:ascii="Cambria Math" w:hAnsi="Cambria Math"/>
                    <w:sz w:val="18"/>
                  </w:rPr>
                  <m:t>=c+β</m:t>
                </m:r>
                <m:sSub>
                  <m:sSubPr>
                    <m:ctrlPr>
                      <w:rPr>
                        <w:rFonts w:ascii="Cambria Math" w:hAnsi="Cambria Math"/>
                        <w:i/>
                        <w:sz w:val="18"/>
                      </w:rPr>
                    </m:ctrlPr>
                  </m:sSubPr>
                  <m:e>
                    <m:r>
                      <w:rPr>
                        <w:rFonts w:ascii="Cambria Math" w:hAnsi="Cambria Math"/>
                        <w:sz w:val="18"/>
                      </w:rPr>
                      <m:t>X</m:t>
                    </m:r>
                  </m:e>
                  <m:sub>
                    <m:r>
                      <w:rPr>
                        <w:rFonts w:ascii="Cambria Math" w:hAnsi="Cambria Math"/>
                        <w:sz w:val="18"/>
                      </w:rPr>
                      <m:t>t</m:t>
                    </m:r>
                  </m:sub>
                </m:sSub>
                <m:r>
                  <w:rPr>
                    <w:rFonts w:ascii="Cambria Math" w:hAnsi="Cambria Math"/>
                    <w:sz w:val="18"/>
                  </w:rPr>
                  <m:t>+</m:t>
                </m:r>
                <m:sSub>
                  <m:sSubPr>
                    <m:ctrlPr>
                      <w:rPr>
                        <w:rFonts w:ascii="Cambria Math" w:hAnsi="Cambria Math"/>
                        <w:i/>
                        <w:sz w:val="18"/>
                      </w:rPr>
                    </m:ctrlPr>
                  </m:sSubPr>
                  <m:e>
                    <m:r>
                      <w:rPr>
                        <w:rFonts w:ascii="Cambria Math" w:hAnsi="Cambria Math"/>
                        <w:sz w:val="18"/>
                      </w:rPr>
                      <m:t>ε</m:t>
                    </m:r>
                  </m:e>
                  <m:sub>
                    <m:r>
                      <w:rPr>
                        <w:rFonts w:ascii="Cambria Math" w:hAnsi="Cambria Math"/>
                        <w:sz w:val="18"/>
                      </w:rPr>
                      <m:t>i,cr,t</m:t>
                    </m:r>
                  </m:sub>
                </m:sSub>
                <m:r>
                  <w:rPr>
                    <w:rFonts w:ascii="Cambria Math" w:hAnsi="Cambria Math"/>
                    <w:sz w:val="18"/>
                  </w:rPr>
                  <m:t xml:space="preserve"> </m:t>
                </m:r>
              </m:oMath>
            </m:oMathPara>
          </w:p>
          <w:p w:rsidR="006B31B1" w:rsidRPr="00ED504D" w:rsidRDefault="006B31B1" w:rsidP="00042F3D">
            <w:pPr>
              <w:jc w:val="both"/>
              <w:rPr>
                <w:sz w:val="18"/>
                <w:szCs w:val="20"/>
              </w:rPr>
            </w:pPr>
            <w:r w:rsidRPr="00ED504D">
              <w:rPr>
                <w:sz w:val="18"/>
                <w:szCs w:val="20"/>
              </w:rPr>
              <w:t xml:space="preserve">where RB represents the bond specific return, </w:t>
            </w:r>
            <w:r>
              <w:rPr>
                <w:sz w:val="18"/>
                <w:szCs w:val="20"/>
              </w:rPr>
              <w:t>X is either changes in the LOIS spread or in its constituents,</w:t>
            </w:r>
            <w:r w:rsidRPr="00ED504D">
              <w:rPr>
                <w:sz w:val="18"/>
                <w:szCs w:val="20"/>
              </w:rPr>
              <w:t xml:space="preserve"> and RECB is the return  of the 3 month ECB rate</w:t>
            </w:r>
            <w:r>
              <w:rPr>
                <w:sz w:val="18"/>
                <w:szCs w:val="20"/>
              </w:rPr>
              <w:t>. The LOIS spread (ΔLOIS)</w:t>
            </w:r>
            <w:r w:rsidRPr="00ED504D">
              <w:rPr>
                <w:sz w:val="18"/>
                <w:szCs w:val="20"/>
              </w:rPr>
              <w:t xml:space="preserve"> refers to changes </w:t>
            </w:r>
            <w:r>
              <w:rPr>
                <w:sz w:val="18"/>
                <w:szCs w:val="20"/>
              </w:rPr>
              <w:t>in the difference between the 3</w:t>
            </w:r>
            <w:r w:rsidRPr="00ED504D">
              <w:rPr>
                <w:sz w:val="18"/>
                <w:szCs w:val="20"/>
              </w:rPr>
              <w:t xml:space="preserve"> </w:t>
            </w:r>
            <w:r>
              <w:rPr>
                <w:sz w:val="18"/>
                <w:szCs w:val="20"/>
              </w:rPr>
              <w:t>month</w:t>
            </w:r>
            <w:r w:rsidRPr="00ED504D">
              <w:rPr>
                <w:sz w:val="18"/>
                <w:szCs w:val="20"/>
              </w:rPr>
              <w:t xml:space="preserve"> </w:t>
            </w:r>
            <w:r>
              <w:rPr>
                <w:sz w:val="18"/>
                <w:szCs w:val="20"/>
              </w:rPr>
              <w:t>EURIBOR</w:t>
            </w:r>
            <w:r w:rsidRPr="00ED504D">
              <w:rPr>
                <w:sz w:val="18"/>
                <w:szCs w:val="20"/>
              </w:rPr>
              <w:t xml:space="preserve"> rate </w:t>
            </w:r>
            <w:r>
              <w:rPr>
                <w:sz w:val="18"/>
                <w:szCs w:val="20"/>
              </w:rPr>
              <w:t>(ΔEURIBOR)</w:t>
            </w:r>
            <w:r w:rsidRPr="00ED504D">
              <w:rPr>
                <w:sz w:val="18"/>
                <w:szCs w:val="20"/>
              </w:rPr>
              <w:t xml:space="preserve"> and the </w:t>
            </w:r>
            <w:r>
              <w:rPr>
                <w:sz w:val="18"/>
                <w:szCs w:val="20"/>
              </w:rPr>
              <w:t>3 month EONIA rate (ΔEONIA).</w:t>
            </w:r>
            <w:r w:rsidRPr="00ED504D">
              <w:rPr>
                <w:sz w:val="18"/>
                <w:szCs w:val="20"/>
              </w:rPr>
              <w:t xml:space="preserve"> We employ daily observations. For each sub-period, regressions variables are winsorized at 1% - 99% taking into account all time-series observations and demeaned at the bond level. </w:t>
            </w:r>
            <w:r w:rsidRPr="00ED504D">
              <w:rPr>
                <w:rFonts w:ascii="Calibri" w:hAnsi="Calibri"/>
                <w:color w:val="000000"/>
                <w:sz w:val="18"/>
                <w:szCs w:val="20"/>
              </w:rPr>
              <w:t xml:space="preserve">Sub-periods are 01 Apr 2003 to 31 Aug 2007 for the pre-crisis period, 01 Sep 2007 and 31 Dec 2009 for the subprime crisis period and the sovereign crisis period is split into two parts, 01 Jan 2010 to 30 Dec 2011 and between 01 Jan 2012 to 31 Dec 2013, respectively. </w:t>
            </w:r>
            <w:r w:rsidRPr="00ED504D">
              <w:rPr>
                <w:sz w:val="18"/>
                <w:szCs w:val="20"/>
              </w:rPr>
              <w:t xml:space="preserve">White cross-section standard errors &amp; covariance are used. </w:t>
            </w:r>
            <w:r w:rsidRPr="00ED504D">
              <w:rPr>
                <w:rFonts w:ascii="Cambria Math" w:hAnsi="Cambria Math" w:cs="Cambria Math"/>
                <w:sz w:val="18"/>
                <w:szCs w:val="20"/>
              </w:rPr>
              <w:t>∗∗∗</w:t>
            </w:r>
            <w:r w:rsidRPr="00ED504D">
              <w:rPr>
                <w:sz w:val="18"/>
                <w:szCs w:val="20"/>
              </w:rPr>
              <w:t xml:space="preserve">, </w:t>
            </w:r>
            <w:r w:rsidRPr="00ED504D">
              <w:rPr>
                <w:rFonts w:ascii="Cambria Math" w:hAnsi="Cambria Math" w:cs="Cambria Math"/>
                <w:sz w:val="18"/>
                <w:szCs w:val="20"/>
              </w:rPr>
              <w:t>∗∗</w:t>
            </w:r>
            <w:r w:rsidRPr="00ED504D">
              <w:rPr>
                <w:sz w:val="18"/>
                <w:szCs w:val="20"/>
              </w:rPr>
              <w:t xml:space="preserve">, and </w:t>
            </w:r>
            <w:r w:rsidRPr="00ED504D">
              <w:rPr>
                <w:rFonts w:ascii="Cambria Math" w:hAnsi="Cambria Math" w:cs="Cambria Math"/>
                <w:sz w:val="18"/>
                <w:szCs w:val="20"/>
              </w:rPr>
              <w:t>∗</w:t>
            </w:r>
            <w:r w:rsidRPr="00ED504D">
              <w:rPr>
                <w:sz w:val="18"/>
                <w:szCs w:val="20"/>
              </w:rPr>
              <w:t xml:space="preserve"> represent statistical significance at the 1%, 5%, and 10% level, respectively. Adjusted-R</w:t>
            </w:r>
            <w:r w:rsidRPr="00ED504D">
              <w:rPr>
                <w:sz w:val="18"/>
                <w:szCs w:val="20"/>
                <w:vertAlign w:val="superscript"/>
              </w:rPr>
              <w:t>2</w:t>
            </w:r>
            <w:r w:rsidRPr="00ED504D">
              <w:rPr>
                <w:sz w:val="18"/>
                <w:szCs w:val="20"/>
              </w:rPr>
              <w:t xml:space="preserve">s are presented below each coefficient. For brevity, the coefficients for the constant are not reported. The number of observations used in each regression is presented in Appendix </w:t>
            </w:r>
            <w:r w:rsidR="00042F3D">
              <w:rPr>
                <w:sz w:val="18"/>
                <w:szCs w:val="20"/>
              </w:rPr>
              <w:t>F</w:t>
            </w:r>
            <w:r w:rsidRPr="00ED504D">
              <w:rPr>
                <w:sz w:val="18"/>
                <w:szCs w:val="20"/>
              </w:rPr>
              <w:t>.</w:t>
            </w:r>
          </w:p>
        </w:tc>
      </w:tr>
      <w:tr w:rsidR="006B31B1" w:rsidRPr="00ED504D" w:rsidTr="006C43BF">
        <w:trPr>
          <w:trHeight w:val="20"/>
          <w:jc w:val="center"/>
        </w:trPr>
        <w:tc>
          <w:tcPr>
            <w:tcW w:w="1134" w:type="dxa"/>
          </w:tcPr>
          <w:p w:rsidR="006B31B1" w:rsidRPr="00ED504D" w:rsidRDefault="006B31B1" w:rsidP="00C85BA7">
            <w:pPr>
              <w:jc w:val="center"/>
              <w:rPr>
                <w:sz w:val="18"/>
                <w:szCs w:val="20"/>
              </w:rPr>
            </w:pPr>
          </w:p>
        </w:tc>
        <w:tc>
          <w:tcPr>
            <w:tcW w:w="236" w:type="dxa"/>
            <w:vAlign w:val="center"/>
          </w:tcPr>
          <w:p w:rsidR="006B31B1" w:rsidRPr="00ED504D" w:rsidRDefault="006B31B1" w:rsidP="00C85BA7">
            <w:pPr>
              <w:jc w:val="center"/>
              <w:rPr>
                <w:sz w:val="18"/>
                <w:szCs w:val="20"/>
              </w:rPr>
            </w:pPr>
          </w:p>
        </w:tc>
        <w:tc>
          <w:tcPr>
            <w:tcW w:w="4309" w:type="dxa"/>
            <w:gridSpan w:val="4"/>
            <w:vAlign w:val="center"/>
          </w:tcPr>
          <w:p w:rsidR="006B31B1" w:rsidRPr="00ED504D" w:rsidRDefault="00CE06E1" w:rsidP="006B31B1">
            <w:pPr>
              <w:jc w:val="center"/>
              <w:rPr>
                <w:sz w:val="18"/>
                <w:szCs w:val="20"/>
              </w:rPr>
            </w:pPr>
            <m:oMathPara>
              <m:oMath>
                <m:sSub>
                  <m:sSubPr>
                    <m:ctrlPr>
                      <w:rPr>
                        <w:rFonts w:ascii="Cambria Math" w:hAnsi="Cambria Math"/>
                        <w:i/>
                        <w:sz w:val="18"/>
                      </w:rPr>
                    </m:ctrlPr>
                  </m:sSubPr>
                  <m:e>
                    <m:r>
                      <w:rPr>
                        <w:rFonts w:ascii="Cambria Math" w:hAnsi="Cambria Math"/>
                        <w:sz w:val="18"/>
                      </w:rPr>
                      <m:t>∆LOIS</m:t>
                    </m:r>
                  </m:e>
                  <m:sub>
                    <m:r>
                      <w:rPr>
                        <w:rFonts w:ascii="Cambria Math" w:hAnsi="Cambria Math"/>
                        <w:sz w:val="18"/>
                      </w:rPr>
                      <m:t>t</m:t>
                    </m:r>
                  </m:sub>
                </m:sSub>
              </m:oMath>
            </m:oMathPara>
          </w:p>
        </w:tc>
        <w:tc>
          <w:tcPr>
            <w:tcW w:w="236" w:type="dxa"/>
          </w:tcPr>
          <w:p w:rsidR="006B31B1" w:rsidRPr="00ED504D" w:rsidRDefault="006B31B1" w:rsidP="00C85BA7">
            <w:pPr>
              <w:jc w:val="center"/>
              <w:rPr>
                <w:sz w:val="18"/>
                <w:szCs w:val="20"/>
              </w:rPr>
            </w:pPr>
          </w:p>
        </w:tc>
        <w:tc>
          <w:tcPr>
            <w:tcW w:w="4309" w:type="dxa"/>
            <w:gridSpan w:val="4"/>
            <w:vAlign w:val="center"/>
          </w:tcPr>
          <w:p w:rsidR="006B31B1" w:rsidRPr="00ED504D" w:rsidRDefault="00CE06E1" w:rsidP="006B31B1">
            <w:pPr>
              <w:jc w:val="center"/>
              <w:rPr>
                <w:sz w:val="18"/>
                <w:szCs w:val="20"/>
              </w:rPr>
            </w:pPr>
            <m:oMathPara>
              <m:oMath>
                <m:sSub>
                  <m:sSubPr>
                    <m:ctrlPr>
                      <w:rPr>
                        <w:rFonts w:ascii="Cambria Math" w:hAnsi="Cambria Math"/>
                        <w:i/>
                        <w:sz w:val="18"/>
                      </w:rPr>
                    </m:ctrlPr>
                  </m:sSubPr>
                  <m:e>
                    <m:r>
                      <w:rPr>
                        <w:rFonts w:ascii="Cambria Math" w:hAnsi="Cambria Math"/>
                        <w:sz w:val="18"/>
                      </w:rPr>
                      <m:t>∆EURIBOR</m:t>
                    </m:r>
                  </m:e>
                  <m:sub>
                    <m:r>
                      <w:rPr>
                        <w:rFonts w:ascii="Cambria Math" w:hAnsi="Cambria Math"/>
                        <w:sz w:val="18"/>
                      </w:rPr>
                      <m:t>t</m:t>
                    </m:r>
                  </m:sub>
                </m:sSub>
              </m:oMath>
            </m:oMathPara>
          </w:p>
        </w:tc>
        <w:tc>
          <w:tcPr>
            <w:tcW w:w="236" w:type="dxa"/>
          </w:tcPr>
          <w:p w:rsidR="006B31B1" w:rsidRPr="00ED504D" w:rsidRDefault="006B31B1" w:rsidP="00C85BA7">
            <w:pPr>
              <w:jc w:val="center"/>
              <w:rPr>
                <w:sz w:val="18"/>
                <w:szCs w:val="20"/>
              </w:rPr>
            </w:pPr>
          </w:p>
        </w:tc>
        <w:tc>
          <w:tcPr>
            <w:tcW w:w="4309" w:type="dxa"/>
            <w:gridSpan w:val="5"/>
            <w:vAlign w:val="center"/>
          </w:tcPr>
          <w:p w:rsidR="006B31B1" w:rsidRPr="00ED504D" w:rsidRDefault="00CE06E1" w:rsidP="006B31B1">
            <w:pPr>
              <w:jc w:val="center"/>
              <w:rPr>
                <w:sz w:val="18"/>
                <w:szCs w:val="20"/>
              </w:rPr>
            </w:pPr>
            <m:oMathPara>
              <m:oMath>
                <m:sSub>
                  <m:sSubPr>
                    <m:ctrlPr>
                      <w:rPr>
                        <w:rFonts w:ascii="Cambria Math" w:hAnsi="Cambria Math"/>
                        <w:i/>
                        <w:sz w:val="18"/>
                      </w:rPr>
                    </m:ctrlPr>
                  </m:sSubPr>
                  <m:e>
                    <m:r>
                      <w:rPr>
                        <w:rFonts w:ascii="Cambria Math" w:hAnsi="Cambria Math"/>
                        <w:sz w:val="18"/>
                      </w:rPr>
                      <m:t>∆EONIA</m:t>
                    </m:r>
                  </m:e>
                  <m:sub>
                    <m:r>
                      <w:rPr>
                        <w:rFonts w:ascii="Cambria Math" w:hAnsi="Cambria Math"/>
                        <w:sz w:val="18"/>
                      </w:rPr>
                      <m:t>t</m:t>
                    </m:r>
                  </m:sub>
                </m:sSub>
              </m:oMath>
            </m:oMathPara>
          </w:p>
        </w:tc>
      </w:tr>
      <w:tr w:rsidR="006B31B1" w:rsidRPr="00ED504D" w:rsidTr="006C43BF">
        <w:trPr>
          <w:trHeight w:val="20"/>
          <w:jc w:val="center"/>
        </w:trPr>
        <w:tc>
          <w:tcPr>
            <w:tcW w:w="1134" w:type="dxa"/>
          </w:tcPr>
          <w:p w:rsidR="006B31B1" w:rsidRPr="00ED504D" w:rsidRDefault="006B31B1" w:rsidP="00C85BA7">
            <w:pPr>
              <w:jc w:val="center"/>
              <w:rPr>
                <w:sz w:val="18"/>
                <w:szCs w:val="20"/>
              </w:rPr>
            </w:pPr>
          </w:p>
        </w:tc>
        <w:tc>
          <w:tcPr>
            <w:tcW w:w="236" w:type="dxa"/>
            <w:vAlign w:val="center"/>
          </w:tcPr>
          <w:p w:rsidR="006B31B1" w:rsidRPr="00ED504D" w:rsidRDefault="006B31B1" w:rsidP="00C85BA7">
            <w:pPr>
              <w:jc w:val="center"/>
              <w:rPr>
                <w:sz w:val="18"/>
                <w:szCs w:val="20"/>
              </w:rPr>
            </w:pPr>
          </w:p>
        </w:tc>
        <w:tc>
          <w:tcPr>
            <w:tcW w:w="1077" w:type="dxa"/>
            <w:tcBorders>
              <w:bottom w:val="single" w:sz="4" w:space="0" w:color="auto"/>
            </w:tcBorders>
            <w:vAlign w:val="center"/>
          </w:tcPr>
          <w:p w:rsidR="006B31B1" w:rsidRPr="00ED504D" w:rsidRDefault="006B31B1" w:rsidP="00C85BA7">
            <w:pPr>
              <w:jc w:val="center"/>
              <w:rPr>
                <w:sz w:val="18"/>
                <w:szCs w:val="20"/>
              </w:rPr>
            </w:pPr>
            <w:r>
              <w:rPr>
                <w:sz w:val="18"/>
                <w:szCs w:val="20"/>
              </w:rPr>
              <w:t>I</w:t>
            </w:r>
          </w:p>
        </w:tc>
        <w:tc>
          <w:tcPr>
            <w:tcW w:w="1077" w:type="dxa"/>
            <w:tcBorders>
              <w:bottom w:val="single" w:sz="4" w:space="0" w:color="auto"/>
            </w:tcBorders>
            <w:vAlign w:val="center"/>
          </w:tcPr>
          <w:p w:rsidR="006B31B1" w:rsidRPr="00ED504D" w:rsidRDefault="006B31B1" w:rsidP="00C85BA7">
            <w:pPr>
              <w:jc w:val="center"/>
              <w:rPr>
                <w:sz w:val="18"/>
                <w:szCs w:val="20"/>
              </w:rPr>
            </w:pPr>
            <w:r>
              <w:rPr>
                <w:sz w:val="18"/>
                <w:szCs w:val="20"/>
              </w:rPr>
              <w:t>II</w:t>
            </w:r>
          </w:p>
        </w:tc>
        <w:tc>
          <w:tcPr>
            <w:tcW w:w="1077" w:type="dxa"/>
            <w:tcBorders>
              <w:bottom w:val="single" w:sz="4" w:space="0" w:color="auto"/>
            </w:tcBorders>
            <w:vAlign w:val="center"/>
          </w:tcPr>
          <w:p w:rsidR="006B31B1" w:rsidRPr="00ED504D" w:rsidRDefault="006B31B1" w:rsidP="00C85BA7">
            <w:pPr>
              <w:jc w:val="center"/>
              <w:rPr>
                <w:sz w:val="18"/>
                <w:szCs w:val="20"/>
              </w:rPr>
            </w:pPr>
            <w:r>
              <w:rPr>
                <w:sz w:val="18"/>
                <w:szCs w:val="20"/>
              </w:rPr>
              <w:t>III</w:t>
            </w:r>
          </w:p>
        </w:tc>
        <w:tc>
          <w:tcPr>
            <w:tcW w:w="1078" w:type="dxa"/>
            <w:tcBorders>
              <w:bottom w:val="single" w:sz="4" w:space="0" w:color="auto"/>
            </w:tcBorders>
            <w:vAlign w:val="center"/>
          </w:tcPr>
          <w:p w:rsidR="006B31B1" w:rsidRPr="00ED504D" w:rsidRDefault="006B31B1" w:rsidP="00C85BA7">
            <w:pPr>
              <w:jc w:val="center"/>
              <w:rPr>
                <w:sz w:val="18"/>
                <w:szCs w:val="20"/>
              </w:rPr>
            </w:pPr>
            <w:r>
              <w:rPr>
                <w:sz w:val="18"/>
                <w:szCs w:val="20"/>
              </w:rPr>
              <w:t>IV</w:t>
            </w:r>
          </w:p>
        </w:tc>
        <w:tc>
          <w:tcPr>
            <w:tcW w:w="236" w:type="dxa"/>
          </w:tcPr>
          <w:p w:rsidR="006B31B1" w:rsidRPr="00ED504D" w:rsidRDefault="006B31B1" w:rsidP="00C85BA7">
            <w:pPr>
              <w:jc w:val="center"/>
              <w:rPr>
                <w:sz w:val="18"/>
                <w:szCs w:val="20"/>
              </w:rPr>
            </w:pPr>
          </w:p>
        </w:tc>
        <w:tc>
          <w:tcPr>
            <w:tcW w:w="1077" w:type="dxa"/>
            <w:tcBorders>
              <w:bottom w:val="single" w:sz="4" w:space="0" w:color="auto"/>
            </w:tcBorders>
            <w:vAlign w:val="center"/>
          </w:tcPr>
          <w:p w:rsidR="006B31B1" w:rsidRPr="00ED504D" w:rsidRDefault="006B31B1" w:rsidP="00C85BA7">
            <w:pPr>
              <w:jc w:val="center"/>
              <w:rPr>
                <w:sz w:val="18"/>
                <w:szCs w:val="20"/>
              </w:rPr>
            </w:pPr>
            <w:r>
              <w:rPr>
                <w:sz w:val="18"/>
                <w:szCs w:val="20"/>
              </w:rPr>
              <w:t>I</w:t>
            </w:r>
          </w:p>
        </w:tc>
        <w:tc>
          <w:tcPr>
            <w:tcW w:w="1077" w:type="dxa"/>
            <w:tcBorders>
              <w:bottom w:val="single" w:sz="4" w:space="0" w:color="auto"/>
            </w:tcBorders>
            <w:vAlign w:val="center"/>
          </w:tcPr>
          <w:p w:rsidR="006B31B1" w:rsidRPr="00ED504D" w:rsidRDefault="006B31B1" w:rsidP="00C85BA7">
            <w:pPr>
              <w:jc w:val="center"/>
              <w:rPr>
                <w:sz w:val="18"/>
                <w:szCs w:val="20"/>
              </w:rPr>
            </w:pPr>
            <w:r>
              <w:rPr>
                <w:sz w:val="18"/>
                <w:szCs w:val="20"/>
              </w:rPr>
              <w:t>II</w:t>
            </w:r>
          </w:p>
        </w:tc>
        <w:tc>
          <w:tcPr>
            <w:tcW w:w="1077" w:type="dxa"/>
            <w:tcBorders>
              <w:bottom w:val="single" w:sz="4" w:space="0" w:color="auto"/>
            </w:tcBorders>
            <w:vAlign w:val="center"/>
          </w:tcPr>
          <w:p w:rsidR="006B31B1" w:rsidRPr="00ED504D" w:rsidRDefault="006B31B1" w:rsidP="00C85BA7">
            <w:pPr>
              <w:jc w:val="center"/>
              <w:rPr>
                <w:sz w:val="18"/>
                <w:szCs w:val="20"/>
              </w:rPr>
            </w:pPr>
            <w:r>
              <w:rPr>
                <w:sz w:val="18"/>
                <w:szCs w:val="20"/>
              </w:rPr>
              <w:t>III</w:t>
            </w:r>
          </w:p>
        </w:tc>
        <w:tc>
          <w:tcPr>
            <w:tcW w:w="1078" w:type="dxa"/>
            <w:tcBorders>
              <w:bottom w:val="single" w:sz="4" w:space="0" w:color="auto"/>
            </w:tcBorders>
            <w:vAlign w:val="center"/>
          </w:tcPr>
          <w:p w:rsidR="006B31B1" w:rsidRPr="00ED504D" w:rsidRDefault="006B31B1" w:rsidP="00C85BA7">
            <w:pPr>
              <w:jc w:val="center"/>
              <w:rPr>
                <w:sz w:val="18"/>
                <w:szCs w:val="20"/>
              </w:rPr>
            </w:pPr>
            <w:r>
              <w:rPr>
                <w:sz w:val="18"/>
                <w:szCs w:val="20"/>
              </w:rPr>
              <w:t>IV</w:t>
            </w:r>
          </w:p>
        </w:tc>
        <w:tc>
          <w:tcPr>
            <w:tcW w:w="236" w:type="dxa"/>
          </w:tcPr>
          <w:p w:rsidR="006B31B1" w:rsidRPr="00ED504D" w:rsidRDefault="006B31B1" w:rsidP="00C85BA7">
            <w:pPr>
              <w:jc w:val="center"/>
              <w:rPr>
                <w:sz w:val="18"/>
                <w:szCs w:val="20"/>
              </w:rPr>
            </w:pPr>
          </w:p>
        </w:tc>
        <w:tc>
          <w:tcPr>
            <w:tcW w:w="1077" w:type="dxa"/>
            <w:tcBorders>
              <w:bottom w:val="single" w:sz="4" w:space="0" w:color="auto"/>
            </w:tcBorders>
            <w:vAlign w:val="center"/>
          </w:tcPr>
          <w:p w:rsidR="006B31B1" w:rsidRPr="00ED504D" w:rsidRDefault="006B31B1" w:rsidP="00C85BA7">
            <w:pPr>
              <w:jc w:val="center"/>
              <w:rPr>
                <w:sz w:val="18"/>
                <w:szCs w:val="20"/>
              </w:rPr>
            </w:pPr>
            <w:r>
              <w:rPr>
                <w:sz w:val="18"/>
                <w:szCs w:val="20"/>
              </w:rPr>
              <w:t>I</w:t>
            </w:r>
          </w:p>
        </w:tc>
        <w:tc>
          <w:tcPr>
            <w:tcW w:w="1077" w:type="dxa"/>
            <w:tcBorders>
              <w:bottom w:val="single" w:sz="4" w:space="0" w:color="auto"/>
            </w:tcBorders>
            <w:vAlign w:val="center"/>
          </w:tcPr>
          <w:p w:rsidR="006B31B1" w:rsidRPr="00ED504D" w:rsidRDefault="006B31B1" w:rsidP="00C85BA7">
            <w:pPr>
              <w:jc w:val="center"/>
              <w:rPr>
                <w:sz w:val="18"/>
                <w:szCs w:val="20"/>
              </w:rPr>
            </w:pPr>
            <w:r>
              <w:rPr>
                <w:sz w:val="18"/>
                <w:szCs w:val="20"/>
              </w:rPr>
              <w:t>II</w:t>
            </w:r>
          </w:p>
        </w:tc>
        <w:tc>
          <w:tcPr>
            <w:tcW w:w="1077" w:type="dxa"/>
            <w:tcBorders>
              <w:bottom w:val="single" w:sz="4" w:space="0" w:color="auto"/>
            </w:tcBorders>
            <w:vAlign w:val="center"/>
          </w:tcPr>
          <w:p w:rsidR="006B31B1" w:rsidRPr="00ED504D" w:rsidRDefault="006B31B1" w:rsidP="00C85BA7">
            <w:pPr>
              <w:jc w:val="center"/>
              <w:rPr>
                <w:sz w:val="18"/>
                <w:szCs w:val="20"/>
              </w:rPr>
            </w:pPr>
            <w:r>
              <w:rPr>
                <w:sz w:val="18"/>
                <w:szCs w:val="20"/>
              </w:rPr>
              <w:t>III</w:t>
            </w:r>
          </w:p>
        </w:tc>
        <w:tc>
          <w:tcPr>
            <w:tcW w:w="1078" w:type="dxa"/>
            <w:gridSpan w:val="2"/>
            <w:tcBorders>
              <w:bottom w:val="single" w:sz="4" w:space="0" w:color="auto"/>
            </w:tcBorders>
            <w:vAlign w:val="center"/>
          </w:tcPr>
          <w:p w:rsidR="006B31B1" w:rsidRPr="00ED504D" w:rsidRDefault="006B31B1" w:rsidP="00C85BA7">
            <w:pPr>
              <w:jc w:val="center"/>
              <w:rPr>
                <w:sz w:val="18"/>
                <w:szCs w:val="20"/>
              </w:rPr>
            </w:pPr>
            <w:r>
              <w:rPr>
                <w:sz w:val="18"/>
                <w:szCs w:val="20"/>
              </w:rPr>
              <w:t>IV</w:t>
            </w:r>
          </w:p>
        </w:tc>
      </w:tr>
      <w:tr w:rsidR="00023DC8" w:rsidRPr="00ED504D" w:rsidTr="006C43BF">
        <w:trPr>
          <w:trHeight w:val="254"/>
          <w:jc w:val="center"/>
        </w:trPr>
        <w:tc>
          <w:tcPr>
            <w:tcW w:w="1134" w:type="dxa"/>
            <w:vMerge w:val="restart"/>
            <w:vAlign w:val="center"/>
          </w:tcPr>
          <w:p w:rsidR="00023DC8" w:rsidRPr="00ED504D" w:rsidRDefault="00023DC8" w:rsidP="00C85BA7">
            <w:pPr>
              <w:rPr>
                <w:rFonts w:ascii="Calibri" w:hAnsi="Calibri"/>
                <w:color w:val="000000"/>
                <w:sz w:val="18"/>
                <w:szCs w:val="20"/>
              </w:rPr>
            </w:pPr>
            <w:r w:rsidRPr="00ED504D">
              <w:rPr>
                <w:rFonts w:ascii="Calibri" w:hAnsi="Calibri"/>
                <w:color w:val="000000"/>
                <w:sz w:val="18"/>
                <w:szCs w:val="20"/>
              </w:rPr>
              <w:t>Germany</w:t>
            </w:r>
          </w:p>
        </w:tc>
        <w:tc>
          <w:tcPr>
            <w:tcW w:w="236" w:type="dxa"/>
          </w:tcPr>
          <w:p w:rsidR="00023DC8" w:rsidRPr="00ED504D" w:rsidRDefault="00023DC8" w:rsidP="00C85BA7">
            <w:pPr>
              <w:jc w:val="center"/>
              <w:rPr>
                <w:sz w:val="18"/>
                <w:szCs w:val="20"/>
              </w:rPr>
            </w:pPr>
          </w:p>
        </w:tc>
        <w:tc>
          <w:tcPr>
            <w:tcW w:w="1077" w:type="dxa"/>
            <w:tcBorders>
              <w:top w:val="single" w:sz="4" w:space="0" w:color="auto"/>
            </w:tcBorders>
            <w:vAlign w:val="center"/>
          </w:tcPr>
          <w:p w:rsidR="00023DC8" w:rsidRPr="001F7A12" w:rsidRDefault="00023DC8">
            <w:pPr>
              <w:rPr>
                <w:rFonts w:ascii="Calibri" w:hAnsi="Calibri"/>
                <w:b/>
                <w:bCs/>
                <w:color w:val="548DD4"/>
                <w:sz w:val="20"/>
              </w:rPr>
            </w:pPr>
            <w:r w:rsidRPr="001F7A12">
              <w:rPr>
                <w:rFonts w:ascii="Calibri" w:hAnsi="Calibri"/>
                <w:b/>
                <w:bCs/>
                <w:color w:val="548DD4"/>
                <w:sz w:val="20"/>
              </w:rPr>
              <w:t>3.690 ***</w:t>
            </w:r>
          </w:p>
        </w:tc>
        <w:tc>
          <w:tcPr>
            <w:tcW w:w="1077" w:type="dxa"/>
            <w:tcBorders>
              <w:top w:val="single" w:sz="4" w:space="0" w:color="auto"/>
            </w:tcBorders>
            <w:vAlign w:val="center"/>
          </w:tcPr>
          <w:p w:rsidR="00023DC8" w:rsidRPr="001F7A12" w:rsidRDefault="00023DC8">
            <w:pPr>
              <w:rPr>
                <w:rFonts w:ascii="Calibri" w:hAnsi="Calibri"/>
                <w:b/>
                <w:bCs/>
                <w:color w:val="548DD4"/>
                <w:sz w:val="20"/>
              </w:rPr>
            </w:pPr>
            <w:r w:rsidRPr="001F7A12">
              <w:rPr>
                <w:rFonts w:ascii="Calibri" w:hAnsi="Calibri"/>
                <w:b/>
                <w:bCs/>
                <w:color w:val="548DD4"/>
                <w:sz w:val="20"/>
              </w:rPr>
              <w:t>1.969 ***</w:t>
            </w:r>
          </w:p>
        </w:tc>
        <w:tc>
          <w:tcPr>
            <w:tcW w:w="1077" w:type="dxa"/>
            <w:tcBorders>
              <w:top w:val="single" w:sz="4" w:space="0" w:color="auto"/>
            </w:tcBorders>
            <w:vAlign w:val="center"/>
          </w:tcPr>
          <w:p w:rsidR="00023DC8" w:rsidRPr="001F7A12" w:rsidRDefault="00023DC8">
            <w:pPr>
              <w:rPr>
                <w:rFonts w:ascii="Calibri" w:hAnsi="Calibri"/>
                <w:b/>
                <w:bCs/>
                <w:color w:val="548DD4"/>
                <w:sz w:val="20"/>
              </w:rPr>
            </w:pPr>
            <w:r w:rsidRPr="001F7A12">
              <w:rPr>
                <w:rFonts w:ascii="Calibri" w:hAnsi="Calibri"/>
                <w:b/>
                <w:bCs/>
                <w:color w:val="548DD4"/>
                <w:sz w:val="20"/>
              </w:rPr>
              <w:t>3.538 ***</w:t>
            </w:r>
          </w:p>
        </w:tc>
        <w:tc>
          <w:tcPr>
            <w:tcW w:w="1078" w:type="dxa"/>
            <w:tcBorders>
              <w:top w:val="single" w:sz="4" w:space="0" w:color="auto"/>
            </w:tcBorders>
            <w:vAlign w:val="center"/>
          </w:tcPr>
          <w:p w:rsidR="00023DC8" w:rsidRPr="001F7A12" w:rsidRDefault="00023DC8">
            <w:pPr>
              <w:rPr>
                <w:rFonts w:ascii="Calibri" w:hAnsi="Calibri"/>
                <w:b/>
                <w:bCs/>
                <w:color w:val="548DD4"/>
                <w:sz w:val="20"/>
              </w:rPr>
            </w:pPr>
            <w:r w:rsidRPr="001F7A12">
              <w:rPr>
                <w:rFonts w:ascii="Calibri" w:hAnsi="Calibri"/>
                <w:b/>
                <w:bCs/>
                <w:color w:val="548DD4"/>
                <w:sz w:val="20"/>
              </w:rPr>
              <w:t>5.102 ***</w:t>
            </w:r>
          </w:p>
        </w:tc>
        <w:tc>
          <w:tcPr>
            <w:tcW w:w="236" w:type="dxa"/>
          </w:tcPr>
          <w:p w:rsidR="00023DC8" w:rsidRPr="00ED504D" w:rsidRDefault="00023DC8" w:rsidP="00C85BA7">
            <w:pPr>
              <w:rPr>
                <w:rFonts w:ascii="Calibri" w:hAnsi="Calibri"/>
                <w:color w:val="000000"/>
                <w:sz w:val="18"/>
              </w:rPr>
            </w:pPr>
          </w:p>
        </w:tc>
        <w:tc>
          <w:tcPr>
            <w:tcW w:w="1077" w:type="dxa"/>
            <w:tcBorders>
              <w:top w:val="single" w:sz="4" w:space="0" w:color="auto"/>
            </w:tcBorders>
            <w:vAlign w:val="center"/>
          </w:tcPr>
          <w:p w:rsidR="00023DC8" w:rsidRPr="001F7A12" w:rsidRDefault="00023DC8">
            <w:pPr>
              <w:rPr>
                <w:rFonts w:ascii="Calibri" w:hAnsi="Calibri"/>
                <w:b/>
                <w:bCs/>
                <w:color w:val="FF0000"/>
                <w:sz w:val="18"/>
                <w:szCs w:val="20"/>
              </w:rPr>
            </w:pPr>
            <w:r w:rsidRPr="001F7A12">
              <w:rPr>
                <w:rFonts w:ascii="Calibri" w:hAnsi="Calibri"/>
                <w:b/>
                <w:bCs/>
                <w:color w:val="FF0000"/>
                <w:sz w:val="18"/>
                <w:szCs w:val="20"/>
              </w:rPr>
              <w:t>-2.516 **</w:t>
            </w:r>
          </w:p>
        </w:tc>
        <w:tc>
          <w:tcPr>
            <w:tcW w:w="1077" w:type="dxa"/>
            <w:tcBorders>
              <w:top w:val="single" w:sz="4" w:space="0" w:color="auto"/>
            </w:tcBorders>
            <w:vAlign w:val="center"/>
          </w:tcPr>
          <w:p w:rsidR="00023DC8" w:rsidRPr="001F7A12" w:rsidRDefault="00023DC8">
            <w:pPr>
              <w:rPr>
                <w:rFonts w:ascii="Calibri" w:hAnsi="Calibri"/>
                <w:color w:val="000000"/>
                <w:sz w:val="18"/>
                <w:szCs w:val="20"/>
              </w:rPr>
            </w:pPr>
            <w:r w:rsidRPr="001F7A12">
              <w:rPr>
                <w:rFonts w:ascii="Calibri" w:hAnsi="Calibri"/>
                <w:color w:val="000000"/>
                <w:sz w:val="18"/>
                <w:szCs w:val="20"/>
              </w:rPr>
              <w:t>-0.199</w:t>
            </w:r>
          </w:p>
        </w:tc>
        <w:tc>
          <w:tcPr>
            <w:tcW w:w="1077" w:type="dxa"/>
            <w:tcBorders>
              <w:top w:val="single" w:sz="4" w:space="0" w:color="auto"/>
            </w:tcBorders>
            <w:vAlign w:val="center"/>
          </w:tcPr>
          <w:p w:rsidR="00023DC8" w:rsidRPr="001F7A12" w:rsidRDefault="00023DC8">
            <w:pPr>
              <w:rPr>
                <w:rFonts w:ascii="Calibri" w:hAnsi="Calibri"/>
                <w:b/>
                <w:bCs/>
                <w:color w:val="FF0000"/>
                <w:sz w:val="18"/>
                <w:szCs w:val="20"/>
              </w:rPr>
            </w:pPr>
            <w:r w:rsidRPr="001F7A12">
              <w:rPr>
                <w:rFonts w:ascii="Calibri" w:hAnsi="Calibri"/>
                <w:b/>
                <w:bCs/>
                <w:color w:val="FF0000"/>
                <w:sz w:val="18"/>
                <w:szCs w:val="20"/>
              </w:rPr>
              <w:t>-7.028 ***</w:t>
            </w:r>
          </w:p>
        </w:tc>
        <w:tc>
          <w:tcPr>
            <w:tcW w:w="1078" w:type="dxa"/>
            <w:tcBorders>
              <w:top w:val="single" w:sz="4" w:space="0" w:color="auto"/>
            </w:tcBorders>
            <w:vAlign w:val="center"/>
          </w:tcPr>
          <w:p w:rsidR="00023DC8" w:rsidRPr="001F7A12" w:rsidRDefault="00023DC8">
            <w:pPr>
              <w:rPr>
                <w:rFonts w:ascii="Calibri" w:hAnsi="Calibri"/>
                <w:color w:val="000000"/>
                <w:sz w:val="18"/>
                <w:szCs w:val="20"/>
              </w:rPr>
            </w:pPr>
            <w:r w:rsidRPr="001F7A12">
              <w:rPr>
                <w:rFonts w:ascii="Calibri" w:hAnsi="Calibri"/>
                <w:color w:val="000000"/>
                <w:sz w:val="18"/>
                <w:szCs w:val="20"/>
              </w:rPr>
              <w:t>-2.776</w:t>
            </w:r>
          </w:p>
        </w:tc>
        <w:tc>
          <w:tcPr>
            <w:tcW w:w="236" w:type="dxa"/>
          </w:tcPr>
          <w:p w:rsidR="00023DC8" w:rsidRPr="006B31B1" w:rsidRDefault="00023DC8" w:rsidP="00C85BA7">
            <w:pPr>
              <w:rPr>
                <w:rFonts w:ascii="Calibri" w:hAnsi="Calibri"/>
                <w:b/>
                <w:color w:val="FF0000"/>
                <w:sz w:val="18"/>
              </w:rPr>
            </w:pPr>
          </w:p>
        </w:tc>
        <w:tc>
          <w:tcPr>
            <w:tcW w:w="1077" w:type="dxa"/>
            <w:tcBorders>
              <w:top w:val="single" w:sz="4" w:space="0" w:color="auto"/>
            </w:tcBorders>
            <w:vAlign w:val="center"/>
          </w:tcPr>
          <w:p w:rsidR="00023DC8" w:rsidRPr="00023DC8" w:rsidRDefault="00023DC8">
            <w:pPr>
              <w:rPr>
                <w:rFonts w:ascii="Calibri" w:hAnsi="Calibri"/>
                <w:b/>
                <w:bCs/>
                <w:color w:val="FF0000"/>
                <w:sz w:val="18"/>
                <w:szCs w:val="20"/>
              </w:rPr>
            </w:pPr>
            <w:r w:rsidRPr="00023DC8">
              <w:rPr>
                <w:rFonts w:ascii="Calibri" w:hAnsi="Calibri"/>
                <w:b/>
                <w:bCs/>
                <w:color w:val="FF0000"/>
                <w:sz w:val="18"/>
                <w:szCs w:val="20"/>
              </w:rPr>
              <w:t>-5.127 ***</w:t>
            </w:r>
          </w:p>
        </w:tc>
        <w:tc>
          <w:tcPr>
            <w:tcW w:w="1077" w:type="dxa"/>
            <w:tcBorders>
              <w:top w:val="single" w:sz="4" w:space="0" w:color="auto"/>
            </w:tcBorders>
            <w:vAlign w:val="center"/>
          </w:tcPr>
          <w:p w:rsidR="00023DC8" w:rsidRPr="00023DC8" w:rsidRDefault="00023DC8">
            <w:pPr>
              <w:rPr>
                <w:rFonts w:ascii="Calibri" w:hAnsi="Calibri"/>
                <w:b/>
                <w:bCs/>
                <w:color w:val="FF0000"/>
                <w:sz w:val="18"/>
                <w:szCs w:val="20"/>
              </w:rPr>
            </w:pPr>
            <w:r w:rsidRPr="00023DC8">
              <w:rPr>
                <w:rFonts w:ascii="Calibri" w:hAnsi="Calibri"/>
                <w:b/>
                <w:bCs/>
                <w:color w:val="FF0000"/>
                <w:sz w:val="18"/>
                <w:szCs w:val="20"/>
              </w:rPr>
              <w:t>-2.677 ***</w:t>
            </w:r>
          </w:p>
        </w:tc>
        <w:tc>
          <w:tcPr>
            <w:tcW w:w="1077" w:type="dxa"/>
            <w:tcBorders>
              <w:top w:val="single" w:sz="4" w:space="0" w:color="auto"/>
            </w:tcBorders>
            <w:vAlign w:val="center"/>
          </w:tcPr>
          <w:p w:rsidR="00023DC8" w:rsidRPr="00023DC8" w:rsidRDefault="00023DC8">
            <w:pPr>
              <w:rPr>
                <w:rFonts w:ascii="Calibri" w:hAnsi="Calibri"/>
                <w:b/>
                <w:bCs/>
                <w:color w:val="FF0000"/>
                <w:sz w:val="18"/>
                <w:szCs w:val="20"/>
              </w:rPr>
            </w:pPr>
            <w:r w:rsidRPr="00023DC8">
              <w:rPr>
                <w:rFonts w:ascii="Calibri" w:hAnsi="Calibri"/>
                <w:b/>
                <w:bCs/>
                <w:color w:val="FF0000"/>
                <w:sz w:val="18"/>
                <w:szCs w:val="20"/>
              </w:rPr>
              <w:t>-3.883 ***</w:t>
            </w:r>
          </w:p>
        </w:tc>
        <w:tc>
          <w:tcPr>
            <w:tcW w:w="1078" w:type="dxa"/>
            <w:gridSpan w:val="2"/>
            <w:tcBorders>
              <w:top w:val="single" w:sz="4" w:space="0" w:color="auto"/>
            </w:tcBorders>
            <w:vAlign w:val="center"/>
          </w:tcPr>
          <w:p w:rsidR="00023DC8" w:rsidRPr="00023DC8" w:rsidRDefault="00023DC8">
            <w:pPr>
              <w:rPr>
                <w:rFonts w:ascii="Calibri" w:hAnsi="Calibri"/>
                <w:b/>
                <w:bCs/>
                <w:color w:val="FF0000"/>
                <w:sz w:val="18"/>
                <w:szCs w:val="20"/>
              </w:rPr>
            </w:pPr>
            <w:r w:rsidRPr="00023DC8">
              <w:rPr>
                <w:rFonts w:ascii="Calibri" w:hAnsi="Calibri"/>
                <w:b/>
                <w:bCs/>
                <w:color w:val="FF0000"/>
                <w:sz w:val="18"/>
                <w:szCs w:val="20"/>
              </w:rPr>
              <w:t>-7.868 ***</w:t>
            </w:r>
          </w:p>
        </w:tc>
      </w:tr>
      <w:tr w:rsidR="00023DC8" w:rsidRPr="00ED504D" w:rsidTr="006C43BF">
        <w:trPr>
          <w:trHeight w:val="254"/>
          <w:jc w:val="center"/>
        </w:trPr>
        <w:tc>
          <w:tcPr>
            <w:tcW w:w="1134" w:type="dxa"/>
            <w:vMerge/>
            <w:vAlign w:val="center"/>
          </w:tcPr>
          <w:p w:rsidR="00023DC8" w:rsidRPr="00ED504D" w:rsidRDefault="00023DC8" w:rsidP="00C85BA7">
            <w:pPr>
              <w:rPr>
                <w:rFonts w:ascii="Calibri" w:hAnsi="Calibri"/>
                <w:color w:val="000000"/>
                <w:sz w:val="18"/>
                <w:szCs w:val="20"/>
              </w:rPr>
            </w:pPr>
          </w:p>
        </w:tc>
        <w:tc>
          <w:tcPr>
            <w:tcW w:w="236" w:type="dxa"/>
          </w:tcPr>
          <w:p w:rsidR="00023DC8" w:rsidRPr="006B31B1" w:rsidRDefault="00023DC8" w:rsidP="00C85BA7">
            <w:pPr>
              <w:jc w:val="center"/>
              <w:rPr>
                <w:sz w:val="18"/>
                <w:szCs w:val="20"/>
              </w:rPr>
            </w:pPr>
          </w:p>
        </w:tc>
        <w:tc>
          <w:tcPr>
            <w:tcW w:w="1077" w:type="dxa"/>
            <w:vAlign w:val="center"/>
          </w:tcPr>
          <w:p w:rsidR="00023DC8" w:rsidRPr="001F7A12" w:rsidRDefault="00023DC8">
            <w:pPr>
              <w:jc w:val="right"/>
              <w:rPr>
                <w:rFonts w:ascii="Calibri" w:hAnsi="Calibri"/>
                <w:color w:val="000000"/>
                <w:sz w:val="20"/>
                <w:szCs w:val="18"/>
              </w:rPr>
            </w:pPr>
            <w:r w:rsidRPr="001F7A12">
              <w:rPr>
                <w:rFonts w:ascii="Calibri" w:hAnsi="Calibri"/>
                <w:color w:val="000000"/>
                <w:sz w:val="20"/>
                <w:szCs w:val="18"/>
              </w:rPr>
              <w:t>3.25%</w:t>
            </w:r>
          </w:p>
        </w:tc>
        <w:tc>
          <w:tcPr>
            <w:tcW w:w="1077" w:type="dxa"/>
            <w:vAlign w:val="center"/>
          </w:tcPr>
          <w:p w:rsidR="00023DC8" w:rsidRPr="001F7A12" w:rsidRDefault="00023DC8">
            <w:pPr>
              <w:jc w:val="right"/>
              <w:rPr>
                <w:rFonts w:ascii="Calibri" w:hAnsi="Calibri"/>
                <w:color w:val="000000"/>
                <w:sz w:val="20"/>
                <w:szCs w:val="18"/>
              </w:rPr>
            </w:pPr>
            <w:r w:rsidRPr="001F7A12">
              <w:rPr>
                <w:rFonts w:ascii="Calibri" w:hAnsi="Calibri"/>
                <w:color w:val="000000"/>
                <w:sz w:val="20"/>
                <w:szCs w:val="18"/>
              </w:rPr>
              <w:t>3.18%</w:t>
            </w:r>
          </w:p>
        </w:tc>
        <w:tc>
          <w:tcPr>
            <w:tcW w:w="1077" w:type="dxa"/>
            <w:vAlign w:val="center"/>
          </w:tcPr>
          <w:p w:rsidR="00023DC8" w:rsidRPr="001F7A12" w:rsidRDefault="00023DC8">
            <w:pPr>
              <w:jc w:val="right"/>
              <w:rPr>
                <w:rFonts w:ascii="Calibri" w:hAnsi="Calibri"/>
                <w:color w:val="000000"/>
                <w:sz w:val="20"/>
                <w:szCs w:val="18"/>
              </w:rPr>
            </w:pPr>
            <w:r w:rsidRPr="001F7A12">
              <w:rPr>
                <w:rFonts w:ascii="Calibri" w:hAnsi="Calibri"/>
                <w:color w:val="000000"/>
                <w:sz w:val="20"/>
                <w:szCs w:val="18"/>
              </w:rPr>
              <w:t>4.82%</w:t>
            </w:r>
          </w:p>
        </w:tc>
        <w:tc>
          <w:tcPr>
            <w:tcW w:w="1078" w:type="dxa"/>
            <w:vAlign w:val="center"/>
          </w:tcPr>
          <w:p w:rsidR="00023DC8" w:rsidRPr="001F7A12" w:rsidRDefault="00023DC8">
            <w:pPr>
              <w:jc w:val="right"/>
              <w:rPr>
                <w:rFonts w:ascii="Calibri" w:hAnsi="Calibri"/>
                <w:color w:val="000000"/>
                <w:sz w:val="20"/>
                <w:szCs w:val="18"/>
              </w:rPr>
            </w:pPr>
            <w:r w:rsidRPr="001F7A12">
              <w:rPr>
                <w:rFonts w:ascii="Calibri" w:hAnsi="Calibri"/>
                <w:color w:val="000000"/>
                <w:sz w:val="20"/>
                <w:szCs w:val="18"/>
              </w:rPr>
              <w:t>1.13%</w:t>
            </w:r>
          </w:p>
        </w:tc>
        <w:tc>
          <w:tcPr>
            <w:tcW w:w="236" w:type="dxa"/>
          </w:tcPr>
          <w:p w:rsidR="00023DC8" w:rsidRPr="006B31B1" w:rsidRDefault="00023DC8" w:rsidP="00C85BA7">
            <w:pPr>
              <w:rPr>
                <w:rFonts w:ascii="Calibri" w:hAnsi="Calibri"/>
                <w:color w:val="000000"/>
                <w:sz w:val="18"/>
              </w:rPr>
            </w:pPr>
          </w:p>
        </w:tc>
        <w:tc>
          <w:tcPr>
            <w:tcW w:w="1077" w:type="dxa"/>
            <w:vAlign w:val="center"/>
          </w:tcPr>
          <w:p w:rsidR="00023DC8" w:rsidRPr="001F7A12" w:rsidRDefault="00023DC8">
            <w:pPr>
              <w:jc w:val="right"/>
              <w:rPr>
                <w:rFonts w:ascii="Calibri" w:hAnsi="Calibri"/>
                <w:color w:val="000000"/>
                <w:sz w:val="18"/>
                <w:szCs w:val="18"/>
              </w:rPr>
            </w:pPr>
            <w:r w:rsidRPr="001F7A12">
              <w:rPr>
                <w:rFonts w:ascii="Calibri" w:hAnsi="Calibri"/>
                <w:color w:val="000000"/>
                <w:sz w:val="18"/>
                <w:szCs w:val="18"/>
              </w:rPr>
              <w:t>0.50%</w:t>
            </w:r>
          </w:p>
        </w:tc>
        <w:tc>
          <w:tcPr>
            <w:tcW w:w="1077" w:type="dxa"/>
            <w:vAlign w:val="center"/>
          </w:tcPr>
          <w:p w:rsidR="00023DC8" w:rsidRPr="001F7A12" w:rsidRDefault="00023DC8">
            <w:pPr>
              <w:jc w:val="right"/>
              <w:rPr>
                <w:rFonts w:ascii="Calibri" w:hAnsi="Calibri"/>
                <w:color w:val="000000"/>
                <w:sz w:val="18"/>
                <w:szCs w:val="18"/>
              </w:rPr>
            </w:pPr>
            <w:r w:rsidRPr="001F7A12">
              <w:rPr>
                <w:rFonts w:ascii="Calibri" w:hAnsi="Calibri"/>
                <w:color w:val="000000"/>
                <w:sz w:val="18"/>
                <w:szCs w:val="18"/>
              </w:rPr>
              <w:t>0.01%</w:t>
            </w:r>
          </w:p>
        </w:tc>
        <w:tc>
          <w:tcPr>
            <w:tcW w:w="1077" w:type="dxa"/>
            <w:vAlign w:val="center"/>
          </w:tcPr>
          <w:p w:rsidR="00023DC8" w:rsidRPr="001F7A12" w:rsidRDefault="00023DC8">
            <w:pPr>
              <w:jc w:val="right"/>
              <w:rPr>
                <w:rFonts w:ascii="Calibri" w:hAnsi="Calibri"/>
                <w:color w:val="000000"/>
                <w:sz w:val="18"/>
                <w:szCs w:val="18"/>
              </w:rPr>
            </w:pPr>
            <w:r w:rsidRPr="001F7A12">
              <w:rPr>
                <w:rFonts w:ascii="Calibri" w:hAnsi="Calibri"/>
                <w:color w:val="000000"/>
                <w:sz w:val="18"/>
                <w:szCs w:val="18"/>
              </w:rPr>
              <w:t>0.77%</w:t>
            </w:r>
          </w:p>
        </w:tc>
        <w:tc>
          <w:tcPr>
            <w:tcW w:w="1078" w:type="dxa"/>
            <w:vAlign w:val="center"/>
          </w:tcPr>
          <w:p w:rsidR="00023DC8" w:rsidRPr="001F7A12" w:rsidRDefault="00023DC8">
            <w:pPr>
              <w:jc w:val="right"/>
              <w:rPr>
                <w:rFonts w:ascii="Calibri" w:hAnsi="Calibri"/>
                <w:color w:val="000000"/>
                <w:sz w:val="18"/>
                <w:szCs w:val="18"/>
              </w:rPr>
            </w:pPr>
            <w:r w:rsidRPr="001F7A12">
              <w:rPr>
                <w:rFonts w:ascii="Calibri" w:hAnsi="Calibri"/>
                <w:color w:val="000000"/>
                <w:sz w:val="18"/>
                <w:szCs w:val="18"/>
              </w:rPr>
              <w:t>0.13%</w:t>
            </w:r>
          </w:p>
        </w:tc>
        <w:tc>
          <w:tcPr>
            <w:tcW w:w="236" w:type="dxa"/>
          </w:tcPr>
          <w:p w:rsidR="00023DC8" w:rsidRPr="006B31B1" w:rsidRDefault="00023DC8" w:rsidP="00C85BA7">
            <w:pPr>
              <w:rPr>
                <w:rFonts w:ascii="Calibri" w:hAnsi="Calibri"/>
                <w:color w:val="000000"/>
                <w:sz w:val="18"/>
              </w:rPr>
            </w:pPr>
          </w:p>
        </w:tc>
        <w:tc>
          <w:tcPr>
            <w:tcW w:w="1077" w:type="dxa"/>
            <w:vAlign w:val="center"/>
          </w:tcPr>
          <w:p w:rsidR="00023DC8" w:rsidRPr="00023DC8" w:rsidRDefault="00023DC8">
            <w:pPr>
              <w:jc w:val="right"/>
              <w:rPr>
                <w:rFonts w:ascii="Calibri" w:hAnsi="Calibri"/>
                <w:color w:val="000000"/>
                <w:sz w:val="18"/>
                <w:szCs w:val="18"/>
              </w:rPr>
            </w:pPr>
            <w:r w:rsidRPr="00023DC8">
              <w:rPr>
                <w:rFonts w:ascii="Calibri" w:hAnsi="Calibri"/>
                <w:color w:val="000000"/>
                <w:sz w:val="18"/>
                <w:szCs w:val="18"/>
              </w:rPr>
              <w:t>5.55%</w:t>
            </w:r>
          </w:p>
        </w:tc>
        <w:tc>
          <w:tcPr>
            <w:tcW w:w="1077" w:type="dxa"/>
            <w:vAlign w:val="center"/>
          </w:tcPr>
          <w:p w:rsidR="00023DC8" w:rsidRPr="00023DC8" w:rsidRDefault="00023DC8">
            <w:pPr>
              <w:jc w:val="right"/>
              <w:rPr>
                <w:rFonts w:ascii="Calibri" w:hAnsi="Calibri"/>
                <w:color w:val="000000"/>
                <w:sz w:val="18"/>
                <w:szCs w:val="18"/>
              </w:rPr>
            </w:pPr>
            <w:r w:rsidRPr="00023DC8">
              <w:rPr>
                <w:rFonts w:ascii="Calibri" w:hAnsi="Calibri"/>
                <w:color w:val="000000"/>
                <w:sz w:val="18"/>
                <w:szCs w:val="18"/>
              </w:rPr>
              <w:t>4.54%</w:t>
            </w:r>
          </w:p>
        </w:tc>
        <w:tc>
          <w:tcPr>
            <w:tcW w:w="1077" w:type="dxa"/>
            <w:vAlign w:val="center"/>
          </w:tcPr>
          <w:p w:rsidR="00023DC8" w:rsidRPr="00023DC8" w:rsidRDefault="00023DC8">
            <w:pPr>
              <w:jc w:val="right"/>
              <w:rPr>
                <w:rFonts w:ascii="Calibri" w:hAnsi="Calibri"/>
                <w:color w:val="000000"/>
                <w:sz w:val="18"/>
                <w:szCs w:val="18"/>
              </w:rPr>
            </w:pPr>
            <w:r w:rsidRPr="00023DC8">
              <w:rPr>
                <w:rFonts w:ascii="Calibri" w:hAnsi="Calibri"/>
                <w:color w:val="000000"/>
                <w:sz w:val="18"/>
                <w:szCs w:val="18"/>
              </w:rPr>
              <w:t>5.70%</w:t>
            </w:r>
          </w:p>
        </w:tc>
        <w:tc>
          <w:tcPr>
            <w:tcW w:w="1078" w:type="dxa"/>
            <w:gridSpan w:val="2"/>
            <w:vAlign w:val="center"/>
          </w:tcPr>
          <w:p w:rsidR="00023DC8" w:rsidRPr="00023DC8" w:rsidRDefault="00023DC8">
            <w:pPr>
              <w:jc w:val="right"/>
              <w:rPr>
                <w:rFonts w:ascii="Calibri" w:hAnsi="Calibri"/>
                <w:color w:val="000000"/>
                <w:sz w:val="18"/>
                <w:szCs w:val="18"/>
              </w:rPr>
            </w:pPr>
            <w:r w:rsidRPr="00023DC8">
              <w:rPr>
                <w:rFonts w:ascii="Calibri" w:hAnsi="Calibri"/>
                <w:color w:val="000000"/>
                <w:sz w:val="18"/>
                <w:szCs w:val="18"/>
              </w:rPr>
              <w:t>2.26%</w:t>
            </w:r>
          </w:p>
        </w:tc>
      </w:tr>
      <w:tr w:rsidR="00023DC8" w:rsidRPr="00ED504D" w:rsidTr="006C43BF">
        <w:trPr>
          <w:trHeight w:val="254"/>
          <w:jc w:val="center"/>
        </w:trPr>
        <w:tc>
          <w:tcPr>
            <w:tcW w:w="1134" w:type="dxa"/>
            <w:vMerge w:val="restart"/>
            <w:vAlign w:val="center"/>
          </w:tcPr>
          <w:p w:rsidR="00023DC8" w:rsidRPr="00ED504D" w:rsidRDefault="00023DC8" w:rsidP="00C85BA7">
            <w:pPr>
              <w:rPr>
                <w:rFonts w:ascii="Calibri" w:hAnsi="Calibri"/>
                <w:color w:val="000000"/>
                <w:sz w:val="18"/>
                <w:szCs w:val="20"/>
              </w:rPr>
            </w:pPr>
            <w:r w:rsidRPr="00ED504D">
              <w:rPr>
                <w:rFonts w:ascii="Calibri" w:hAnsi="Calibri"/>
                <w:color w:val="000000"/>
                <w:sz w:val="18"/>
                <w:szCs w:val="20"/>
              </w:rPr>
              <w:t>Netherlands</w:t>
            </w:r>
          </w:p>
        </w:tc>
        <w:tc>
          <w:tcPr>
            <w:tcW w:w="236" w:type="dxa"/>
          </w:tcPr>
          <w:p w:rsidR="00023DC8" w:rsidRPr="00ED504D" w:rsidRDefault="00023DC8" w:rsidP="00C85BA7">
            <w:pPr>
              <w:jc w:val="center"/>
              <w:rPr>
                <w:sz w:val="18"/>
                <w:szCs w:val="20"/>
              </w:rPr>
            </w:pPr>
          </w:p>
        </w:tc>
        <w:tc>
          <w:tcPr>
            <w:tcW w:w="1077" w:type="dxa"/>
            <w:vAlign w:val="center"/>
          </w:tcPr>
          <w:p w:rsidR="00023DC8" w:rsidRPr="001F7A12" w:rsidRDefault="00023DC8">
            <w:pPr>
              <w:rPr>
                <w:rFonts w:ascii="Calibri" w:hAnsi="Calibri"/>
                <w:b/>
                <w:bCs/>
                <w:color w:val="548DD4"/>
                <w:sz w:val="20"/>
              </w:rPr>
            </w:pPr>
            <w:r w:rsidRPr="001F7A12">
              <w:rPr>
                <w:rFonts w:ascii="Calibri" w:hAnsi="Calibri"/>
                <w:b/>
                <w:bCs/>
                <w:color w:val="548DD4"/>
                <w:sz w:val="20"/>
              </w:rPr>
              <w:t>4.554 ***</w:t>
            </w:r>
          </w:p>
        </w:tc>
        <w:tc>
          <w:tcPr>
            <w:tcW w:w="1077" w:type="dxa"/>
            <w:vAlign w:val="center"/>
          </w:tcPr>
          <w:p w:rsidR="00023DC8" w:rsidRPr="001F7A12" w:rsidRDefault="00023DC8">
            <w:pPr>
              <w:rPr>
                <w:rFonts w:ascii="Calibri" w:hAnsi="Calibri"/>
                <w:b/>
                <w:bCs/>
                <w:color w:val="548DD4"/>
                <w:sz w:val="20"/>
              </w:rPr>
            </w:pPr>
            <w:r w:rsidRPr="001F7A12">
              <w:rPr>
                <w:rFonts w:ascii="Calibri" w:hAnsi="Calibri"/>
                <w:b/>
                <w:bCs/>
                <w:color w:val="548DD4"/>
                <w:sz w:val="20"/>
              </w:rPr>
              <w:t>2.140 ***</w:t>
            </w:r>
          </w:p>
        </w:tc>
        <w:tc>
          <w:tcPr>
            <w:tcW w:w="1077" w:type="dxa"/>
            <w:vAlign w:val="center"/>
          </w:tcPr>
          <w:p w:rsidR="00023DC8" w:rsidRPr="001F7A12" w:rsidRDefault="00023DC8">
            <w:pPr>
              <w:rPr>
                <w:rFonts w:ascii="Calibri" w:hAnsi="Calibri"/>
                <w:b/>
                <w:bCs/>
                <w:color w:val="548DD4"/>
                <w:sz w:val="20"/>
              </w:rPr>
            </w:pPr>
            <w:r w:rsidRPr="001F7A12">
              <w:rPr>
                <w:rFonts w:ascii="Calibri" w:hAnsi="Calibri"/>
                <w:b/>
                <w:bCs/>
                <w:color w:val="548DD4"/>
                <w:sz w:val="20"/>
              </w:rPr>
              <w:t>3.847 ***</w:t>
            </w:r>
          </w:p>
        </w:tc>
        <w:tc>
          <w:tcPr>
            <w:tcW w:w="1078" w:type="dxa"/>
            <w:vAlign w:val="center"/>
          </w:tcPr>
          <w:p w:rsidR="00023DC8" w:rsidRPr="001F7A12" w:rsidRDefault="00023DC8">
            <w:pPr>
              <w:rPr>
                <w:rFonts w:ascii="Calibri" w:hAnsi="Calibri"/>
                <w:b/>
                <w:bCs/>
                <w:color w:val="548DD4"/>
                <w:sz w:val="20"/>
              </w:rPr>
            </w:pPr>
            <w:r w:rsidRPr="001F7A12">
              <w:rPr>
                <w:rFonts w:ascii="Calibri" w:hAnsi="Calibri"/>
                <w:b/>
                <w:bCs/>
                <w:color w:val="548DD4"/>
                <w:sz w:val="20"/>
              </w:rPr>
              <w:t>4.548 **</w:t>
            </w:r>
          </w:p>
        </w:tc>
        <w:tc>
          <w:tcPr>
            <w:tcW w:w="236" w:type="dxa"/>
          </w:tcPr>
          <w:p w:rsidR="00023DC8" w:rsidRPr="00ED504D" w:rsidRDefault="00023DC8" w:rsidP="00C85BA7">
            <w:pPr>
              <w:rPr>
                <w:rFonts w:ascii="Calibri" w:hAnsi="Calibri"/>
                <w:color w:val="000000"/>
                <w:sz w:val="18"/>
              </w:rPr>
            </w:pPr>
          </w:p>
        </w:tc>
        <w:tc>
          <w:tcPr>
            <w:tcW w:w="1077" w:type="dxa"/>
            <w:vAlign w:val="center"/>
          </w:tcPr>
          <w:p w:rsidR="00023DC8" w:rsidRPr="001F7A12" w:rsidRDefault="00023DC8">
            <w:pPr>
              <w:rPr>
                <w:rFonts w:ascii="Calibri" w:hAnsi="Calibri"/>
                <w:color w:val="000000"/>
                <w:sz w:val="18"/>
                <w:szCs w:val="20"/>
              </w:rPr>
            </w:pPr>
            <w:r w:rsidRPr="001F7A12">
              <w:rPr>
                <w:rFonts w:ascii="Calibri" w:hAnsi="Calibri"/>
                <w:color w:val="000000"/>
                <w:sz w:val="18"/>
                <w:szCs w:val="20"/>
              </w:rPr>
              <w:t>-2.001</w:t>
            </w:r>
          </w:p>
        </w:tc>
        <w:tc>
          <w:tcPr>
            <w:tcW w:w="1077" w:type="dxa"/>
            <w:vAlign w:val="center"/>
          </w:tcPr>
          <w:p w:rsidR="00023DC8" w:rsidRPr="001F7A12" w:rsidRDefault="00023DC8">
            <w:pPr>
              <w:rPr>
                <w:rFonts w:ascii="Calibri" w:hAnsi="Calibri"/>
                <w:color w:val="000000"/>
                <w:sz w:val="18"/>
                <w:szCs w:val="20"/>
              </w:rPr>
            </w:pPr>
            <w:r w:rsidRPr="001F7A12">
              <w:rPr>
                <w:rFonts w:ascii="Calibri" w:hAnsi="Calibri"/>
                <w:color w:val="000000"/>
                <w:sz w:val="18"/>
                <w:szCs w:val="20"/>
              </w:rPr>
              <w:t>-0.073</w:t>
            </w:r>
          </w:p>
        </w:tc>
        <w:tc>
          <w:tcPr>
            <w:tcW w:w="1077" w:type="dxa"/>
            <w:vAlign w:val="center"/>
          </w:tcPr>
          <w:p w:rsidR="00023DC8" w:rsidRPr="001F7A12" w:rsidRDefault="00023DC8">
            <w:pPr>
              <w:rPr>
                <w:rFonts w:ascii="Calibri" w:hAnsi="Calibri"/>
                <w:b/>
                <w:bCs/>
                <w:color w:val="FF0000"/>
                <w:sz w:val="18"/>
                <w:szCs w:val="20"/>
              </w:rPr>
            </w:pPr>
            <w:r w:rsidRPr="001F7A12">
              <w:rPr>
                <w:rFonts w:ascii="Calibri" w:hAnsi="Calibri"/>
                <w:b/>
                <w:bCs/>
                <w:color w:val="FF0000"/>
                <w:sz w:val="18"/>
                <w:szCs w:val="20"/>
              </w:rPr>
              <w:t>-7.739 ***</w:t>
            </w:r>
          </w:p>
        </w:tc>
        <w:tc>
          <w:tcPr>
            <w:tcW w:w="1078" w:type="dxa"/>
            <w:vAlign w:val="center"/>
          </w:tcPr>
          <w:p w:rsidR="00023DC8" w:rsidRPr="001F7A12" w:rsidRDefault="00023DC8">
            <w:pPr>
              <w:rPr>
                <w:rFonts w:ascii="Calibri" w:hAnsi="Calibri"/>
                <w:b/>
                <w:bCs/>
                <w:color w:val="FF0000"/>
                <w:sz w:val="18"/>
                <w:szCs w:val="20"/>
              </w:rPr>
            </w:pPr>
            <w:r w:rsidRPr="001F7A12">
              <w:rPr>
                <w:rFonts w:ascii="Calibri" w:hAnsi="Calibri"/>
                <w:b/>
                <w:bCs/>
                <w:color w:val="FF0000"/>
                <w:sz w:val="18"/>
                <w:szCs w:val="20"/>
              </w:rPr>
              <w:t>-4.446 *</w:t>
            </w:r>
          </w:p>
        </w:tc>
        <w:tc>
          <w:tcPr>
            <w:tcW w:w="236" w:type="dxa"/>
          </w:tcPr>
          <w:p w:rsidR="00023DC8" w:rsidRPr="006B31B1" w:rsidRDefault="00023DC8" w:rsidP="00C85BA7">
            <w:pPr>
              <w:rPr>
                <w:rFonts w:ascii="Calibri" w:hAnsi="Calibri"/>
                <w:b/>
                <w:color w:val="FF0000"/>
                <w:sz w:val="18"/>
              </w:rPr>
            </w:pPr>
          </w:p>
        </w:tc>
        <w:tc>
          <w:tcPr>
            <w:tcW w:w="1077" w:type="dxa"/>
            <w:vAlign w:val="center"/>
          </w:tcPr>
          <w:p w:rsidR="00023DC8" w:rsidRPr="00023DC8" w:rsidRDefault="00023DC8">
            <w:pPr>
              <w:rPr>
                <w:rFonts w:ascii="Calibri" w:hAnsi="Calibri"/>
                <w:b/>
                <w:bCs/>
                <w:color w:val="FF0000"/>
                <w:sz w:val="18"/>
                <w:szCs w:val="20"/>
              </w:rPr>
            </w:pPr>
            <w:r w:rsidRPr="00023DC8">
              <w:rPr>
                <w:rFonts w:ascii="Calibri" w:hAnsi="Calibri"/>
                <w:b/>
                <w:bCs/>
                <w:color w:val="FF0000"/>
                <w:sz w:val="18"/>
                <w:szCs w:val="20"/>
              </w:rPr>
              <w:t>-6.442 ***</w:t>
            </w:r>
          </w:p>
        </w:tc>
        <w:tc>
          <w:tcPr>
            <w:tcW w:w="1077" w:type="dxa"/>
            <w:vAlign w:val="center"/>
          </w:tcPr>
          <w:p w:rsidR="00023DC8" w:rsidRPr="00023DC8" w:rsidRDefault="00023DC8">
            <w:pPr>
              <w:rPr>
                <w:rFonts w:ascii="Calibri" w:hAnsi="Calibri"/>
                <w:b/>
                <w:bCs/>
                <w:color w:val="FF0000"/>
                <w:sz w:val="18"/>
                <w:szCs w:val="20"/>
              </w:rPr>
            </w:pPr>
            <w:r w:rsidRPr="00023DC8">
              <w:rPr>
                <w:rFonts w:ascii="Calibri" w:hAnsi="Calibri"/>
                <w:b/>
                <w:bCs/>
                <w:color w:val="FF0000"/>
                <w:sz w:val="18"/>
                <w:szCs w:val="20"/>
              </w:rPr>
              <w:t>-2.796 ***</w:t>
            </w:r>
          </w:p>
        </w:tc>
        <w:tc>
          <w:tcPr>
            <w:tcW w:w="1077" w:type="dxa"/>
            <w:vAlign w:val="center"/>
          </w:tcPr>
          <w:p w:rsidR="00023DC8" w:rsidRPr="00023DC8" w:rsidRDefault="00023DC8">
            <w:pPr>
              <w:rPr>
                <w:rFonts w:ascii="Calibri" w:hAnsi="Calibri"/>
                <w:b/>
                <w:bCs/>
                <w:color w:val="FF0000"/>
                <w:sz w:val="18"/>
                <w:szCs w:val="20"/>
              </w:rPr>
            </w:pPr>
            <w:r w:rsidRPr="00023DC8">
              <w:rPr>
                <w:rFonts w:ascii="Calibri" w:hAnsi="Calibri"/>
                <w:b/>
                <w:bCs/>
                <w:color w:val="FF0000"/>
                <w:sz w:val="18"/>
                <w:szCs w:val="20"/>
              </w:rPr>
              <w:t>-4.253 ***</w:t>
            </w:r>
          </w:p>
        </w:tc>
        <w:tc>
          <w:tcPr>
            <w:tcW w:w="1078" w:type="dxa"/>
            <w:gridSpan w:val="2"/>
            <w:vAlign w:val="center"/>
          </w:tcPr>
          <w:p w:rsidR="00023DC8" w:rsidRPr="00023DC8" w:rsidRDefault="00023DC8">
            <w:pPr>
              <w:rPr>
                <w:rFonts w:ascii="Calibri" w:hAnsi="Calibri"/>
                <w:b/>
                <w:bCs/>
                <w:color w:val="FF0000"/>
                <w:sz w:val="18"/>
                <w:szCs w:val="20"/>
              </w:rPr>
            </w:pPr>
            <w:r w:rsidRPr="00023DC8">
              <w:rPr>
                <w:rFonts w:ascii="Calibri" w:hAnsi="Calibri"/>
                <w:b/>
                <w:bCs/>
                <w:color w:val="FF0000"/>
                <w:sz w:val="18"/>
                <w:szCs w:val="20"/>
              </w:rPr>
              <w:t>-7.992 ***</w:t>
            </w:r>
          </w:p>
        </w:tc>
      </w:tr>
      <w:tr w:rsidR="00023DC8" w:rsidRPr="00ED504D" w:rsidTr="006C43BF">
        <w:trPr>
          <w:trHeight w:val="254"/>
          <w:jc w:val="center"/>
        </w:trPr>
        <w:tc>
          <w:tcPr>
            <w:tcW w:w="1134" w:type="dxa"/>
            <w:vMerge/>
            <w:vAlign w:val="center"/>
          </w:tcPr>
          <w:p w:rsidR="00023DC8" w:rsidRPr="00ED504D" w:rsidRDefault="00023DC8" w:rsidP="00C85BA7">
            <w:pPr>
              <w:rPr>
                <w:rFonts w:ascii="Calibri" w:hAnsi="Calibri"/>
                <w:color w:val="000000"/>
                <w:sz w:val="18"/>
                <w:szCs w:val="20"/>
              </w:rPr>
            </w:pPr>
          </w:p>
        </w:tc>
        <w:tc>
          <w:tcPr>
            <w:tcW w:w="236" w:type="dxa"/>
          </w:tcPr>
          <w:p w:rsidR="00023DC8" w:rsidRPr="00ED504D" w:rsidRDefault="00023DC8" w:rsidP="00C85BA7">
            <w:pPr>
              <w:jc w:val="center"/>
              <w:rPr>
                <w:sz w:val="18"/>
                <w:szCs w:val="20"/>
              </w:rPr>
            </w:pPr>
          </w:p>
        </w:tc>
        <w:tc>
          <w:tcPr>
            <w:tcW w:w="1077" w:type="dxa"/>
            <w:vAlign w:val="center"/>
          </w:tcPr>
          <w:p w:rsidR="00023DC8" w:rsidRPr="001F7A12" w:rsidRDefault="00023DC8">
            <w:pPr>
              <w:jc w:val="right"/>
              <w:rPr>
                <w:rFonts w:ascii="Calibri" w:hAnsi="Calibri"/>
                <w:color w:val="000000"/>
                <w:sz w:val="20"/>
                <w:szCs w:val="18"/>
              </w:rPr>
            </w:pPr>
            <w:r w:rsidRPr="001F7A12">
              <w:rPr>
                <w:rFonts w:ascii="Calibri" w:hAnsi="Calibri"/>
                <w:color w:val="000000"/>
                <w:sz w:val="20"/>
                <w:szCs w:val="18"/>
              </w:rPr>
              <w:t>4.40%</w:t>
            </w:r>
          </w:p>
        </w:tc>
        <w:tc>
          <w:tcPr>
            <w:tcW w:w="1077" w:type="dxa"/>
            <w:vAlign w:val="center"/>
          </w:tcPr>
          <w:p w:rsidR="00023DC8" w:rsidRPr="001F7A12" w:rsidRDefault="00023DC8">
            <w:pPr>
              <w:jc w:val="right"/>
              <w:rPr>
                <w:rFonts w:ascii="Calibri" w:hAnsi="Calibri"/>
                <w:color w:val="000000"/>
                <w:sz w:val="20"/>
                <w:szCs w:val="18"/>
              </w:rPr>
            </w:pPr>
            <w:r w:rsidRPr="001F7A12">
              <w:rPr>
                <w:rFonts w:ascii="Calibri" w:hAnsi="Calibri"/>
                <w:color w:val="000000"/>
                <w:sz w:val="20"/>
                <w:szCs w:val="18"/>
              </w:rPr>
              <w:t>3.14%</w:t>
            </w:r>
          </w:p>
        </w:tc>
        <w:tc>
          <w:tcPr>
            <w:tcW w:w="1077" w:type="dxa"/>
            <w:vAlign w:val="center"/>
          </w:tcPr>
          <w:p w:rsidR="00023DC8" w:rsidRPr="001F7A12" w:rsidRDefault="00023DC8">
            <w:pPr>
              <w:jc w:val="right"/>
              <w:rPr>
                <w:rFonts w:ascii="Calibri" w:hAnsi="Calibri"/>
                <w:color w:val="000000"/>
                <w:sz w:val="20"/>
                <w:szCs w:val="18"/>
              </w:rPr>
            </w:pPr>
            <w:r w:rsidRPr="001F7A12">
              <w:rPr>
                <w:rFonts w:ascii="Calibri" w:hAnsi="Calibri"/>
                <w:color w:val="000000"/>
                <w:sz w:val="20"/>
                <w:szCs w:val="18"/>
              </w:rPr>
              <w:t>5.19%</w:t>
            </w:r>
          </w:p>
        </w:tc>
        <w:tc>
          <w:tcPr>
            <w:tcW w:w="1078" w:type="dxa"/>
            <w:vAlign w:val="center"/>
          </w:tcPr>
          <w:p w:rsidR="00023DC8" w:rsidRPr="001F7A12" w:rsidRDefault="00023DC8">
            <w:pPr>
              <w:jc w:val="right"/>
              <w:rPr>
                <w:rFonts w:ascii="Calibri" w:hAnsi="Calibri"/>
                <w:color w:val="000000"/>
                <w:sz w:val="20"/>
                <w:szCs w:val="18"/>
              </w:rPr>
            </w:pPr>
            <w:r w:rsidRPr="001F7A12">
              <w:rPr>
                <w:rFonts w:ascii="Calibri" w:hAnsi="Calibri"/>
                <w:color w:val="000000"/>
                <w:sz w:val="20"/>
                <w:szCs w:val="18"/>
              </w:rPr>
              <w:t>0.85%</w:t>
            </w:r>
          </w:p>
        </w:tc>
        <w:tc>
          <w:tcPr>
            <w:tcW w:w="236" w:type="dxa"/>
          </w:tcPr>
          <w:p w:rsidR="00023DC8" w:rsidRPr="006B31B1" w:rsidRDefault="00023DC8" w:rsidP="00C85BA7">
            <w:pPr>
              <w:rPr>
                <w:rFonts w:ascii="Calibri" w:hAnsi="Calibri"/>
                <w:color w:val="000000"/>
                <w:sz w:val="18"/>
              </w:rPr>
            </w:pPr>
          </w:p>
        </w:tc>
        <w:tc>
          <w:tcPr>
            <w:tcW w:w="1077" w:type="dxa"/>
            <w:vAlign w:val="center"/>
          </w:tcPr>
          <w:p w:rsidR="00023DC8" w:rsidRPr="001F7A12" w:rsidRDefault="00023DC8">
            <w:pPr>
              <w:jc w:val="right"/>
              <w:rPr>
                <w:rFonts w:ascii="Calibri" w:hAnsi="Calibri"/>
                <w:color w:val="000000"/>
                <w:sz w:val="18"/>
                <w:szCs w:val="18"/>
              </w:rPr>
            </w:pPr>
            <w:r w:rsidRPr="001F7A12">
              <w:rPr>
                <w:rFonts w:ascii="Calibri" w:hAnsi="Calibri"/>
                <w:color w:val="000000"/>
                <w:sz w:val="18"/>
                <w:szCs w:val="18"/>
              </w:rPr>
              <w:t>0.24%</w:t>
            </w:r>
          </w:p>
        </w:tc>
        <w:tc>
          <w:tcPr>
            <w:tcW w:w="1077" w:type="dxa"/>
            <w:vAlign w:val="center"/>
          </w:tcPr>
          <w:p w:rsidR="00023DC8" w:rsidRPr="001F7A12" w:rsidRDefault="00023DC8">
            <w:pPr>
              <w:jc w:val="right"/>
              <w:rPr>
                <w:rFonts w:ascii="Calibri" w:hAnsi="Calibri"/>
                <w:color w:val="000000"/>
                <w:sz w:val="18"/>
                <w:szCs w:val="18"/>
              </w:rPr>
            </w:pPr>
            <w:r w:rsidRPr="001F7A12">
              <w:rPr>
                <w:rFonts w:ascii="Calibri" w:hAnsi="Calibri"/>
                <w:color w:val="000000"/>
                <w:sz w:val="18"/>
                <w:szCs w:val="18"/>
              </w:rPr>
              <w:t>-0.01%</w:t>
            </w:r>
          </w:p>
        </w:tc>
        <w:tc>
          <w:tcPr>
            <w:tcW w:w="1077" w:type="dxa"/>
            <w:vAlign w:val="center"/>
          </w:tcPr>
          <w:p w:rsidR="00023DC8" w:rsidRPr="001F7A12" w:rsidRDefault="00023DC8">
            <w:pPr>
              <w:jc w:val="right"/>
              <w:rPr>
                <w:rFonts w:ascii="Calibri" w:hAnsi="Calibri"/>
                <w:color w:val="000000"/>
                <w:sz w:val="18"/>
                <w:szCs w:val="18"/>
              </w:rPr>
            </w:pPr>
            <w:r w:rsidRPr="001F7A12">
              <w:rPr>
                <w:rFonts w:ascii="Calibri" w:hAnsi="Calibri"/>
                <w:color w:val="000000"/>
                <w:sz w:val="18"/>
                <w:szCs w:val="18"/>
              </w:rPr>
              <w:t>0.86%</w:t>
            </w:r>
          </w:p>
        </w:tc>
        <w:tc>
          <w:tcPr>
            <w:tcW w:w="1078" w:type="dxa"/>
            <w:vAlign w:val="center"/>
          </w:tcPr>
          <w:p w:rsidR="00023DC8" w:rsidRPr="001F7A12" w:rsidRDefault="00023DC8">
            <w:pPr>
              <w:jc w:val="right"/>
              <w:rPr>
                <w:rFonts w:ascii="Calibri" w:hAnsi="Calibri"/>
                <w:color w:val="000000"/>
                <w:sz w:val="18"/>
                <w:szCs w:val="18"/>
              </w:rPr>
            </w:pPr>
            <w:r w:rsidRPr="001F7A12">
              <w:rPr>
                <w:rFonts w:ascii="Calibri" w:hAnsi="Calibri"/>
                <w:color w:val="000000"/>
                <w:sz w:val="18"/>
                <w:szCs w:val="18"/>
              </w:rPr>
              <w:t>0.33%</w:t>
            </w:r>
          </w:p>
        </w:tc>
        <w:tc>
          <w:tcPr>
            <w:tcW w:w="236" w:type="dxa"/>
          </w:tcPr>
          <w:p w:rsidR="00023DC8" w:rsidRPr="006B31B1" w:rsidRDefault="00023DC8" w:rsidP="00C85BA7">
            <w:pPr>
              <w:rPr>
                <w:rFonts w:ascii="Calibri" w:hAnsi="Calibri"/>
                <w:color w:val="000000"/>
                <w:sz w:val="18"/>
              </w:rPr>
            </w:pPr>
          </w:p>
        </w:tc>
        <w:tc>
          <w:tcPr>
            <w:tcW w:w="1077" w:type="dxa"/>
            <w:vAlign w:val="center"/>
          </w:tcPr>
          <w:p w:rsidR="00023DC8" w:rsidRPr="00023DC8" w:rsidRDefault="00023DC8">
            <w:pPr>
              <w:jc w:val="right"/>
              <w:rPr>
                <w:rFonts w:ascii="Calibri" w:hAnsi="Calibri"/>
                <w:color w:val="000000"/>
                <w:sz w:val="18"/>
                <w:szCs w:val="18"/>
              </w:rPr>
            </w:pPr>
            <w:r w:rsidRPr="00023DC8">
              <w:rPr>
                <w:rFonts w:ascii="Calibri" w:hAnsi="Calibri"/>
                <w:color w:val="000000"/>
                <w:sz w:val="18"/>
                <w:szCs w:val="18"/>
              </w:rPr>
              <w:t>7.05%</w:t>
            </w:r>
          </w:p>
        </w:tc>
        <w:tc>
          <w:tcPr>
            <w:tcW w:w="1077" w:type="dxa"/>
            <w:vAlign w:val="center"/>
          </w:tcPr>
          <w:p w:rsidR="00023DC8" w:rsidRPr="00023DC8" w:rsidRDefault="00023DC8">
            <w:pPr>
              <w:jc w:val="right"/>
              <w:rPr>
                <w:rFonts w:ascii="Calibri" w:hAnsi="Calibri"/>
                <w:color w:val="000000"/>
                <w:sz w:val="18"/>
                <w:szCs w:val="18"/>
              </w:rPr>
            </w:pPr>
            <w:r w:rsidRPr="00023DC8">
              <w:rPr>
                <w:rFonts w:ascii="Calibri" w:hAnsi="Calibri"/>
                <w:color w:val="000000"/>
                <w:sz w:val="18"/>
                <w:szCs w:val="18"/>
              </w:rPr>
              <w:t>4.15%</w:t>
            </w:r>
          </w:p>
        </w:tc>
        <w:tc>
          <w:tcPr>
            <w:tcW w:w="1077" w:type="dxa"/>
            <w:vAlign w:val="center"/>
          </w:tcPr>
          <w:p w:rsidR="00023DC8" w:rsidRPr="00023DC8" w:rsidRDefault="00023DC8">
            <w:pPr>
              <w:jc w:val="right"/>
              <w:rPr>
                <w:rFonts w:ascii="Calibri" w:hAnsi="Calibri"/>
                <w:color w:val="000000"/>
                <w:sz w:val="18"/>
                <w:szCs w:val="18"/>
              </w:rPr>
            </w:pPr>
            <w:r w:rsidRPr="00023DC8">
              <w:rPr>
                <w:rFonts w:ascii="Calibri" w:hAnsi="Calibri"/>
                <w:color w:val="000000"/>
                <w:sz w:val="18"/>
                <w:szCs w:val="18"/>
              </w:rPr>
              <w:t>6.24%</w:t>
            </w:r>
          </w:p>
        </w:tc>
        <w:tc>
          <w:tcPr>
            <w:tcW w:w="1078" w:type="dxa"/>
            <w:gridSpan w:val="2"/>
            <w:vAlign w:val="center"/>
          </w:tcPr>
          <w:p w:rsidR="00023DC8" w:rsidRPr="00023DC8" w:rsidRDefault="00023DC8">
            <w:pPr>
              <w:jc w:val="right"/>
              <w:rPr>
                <w:rFonts w:ascii="Calibri" w:hAnsi="Calibri"/>
                <w:color w:val="000000"/>
                <w:sz w:val="18"/>
                <w:szCs w:val="18"/>
              </w:rPr>
            </w:pPr>
            <w:r w:rsidRPr="00023DC8">
              <w:rPr>
                <w:rFonts w:ascii="Calibri" w:hAnsi="Calibri"/>
                <w:color w:val="000000"/>
                <w:sz w:val="18"/>
                <w:szCs w:val="18"/>
              </w:rPr>
              <w:t>2.21%</w:t>
            </w:r>
          </w:p>
        </w:tc>
      </w:tr>
      <w:tr w:rsidR="00023DC8" w:rsidRPr="00ED504D" w:rsidTr="006C43BF">
        <w:trPr>
          <w:trHeight w:val="254"/>
          <w:jc w:val="center"/>
        </w:trPr>
        <w:tc>
          <w:tcPr>
            <w:tcW w:w="1134" w:type="dxa"/>
            <w:vMerge w:val="restart"/>
            <w:vAlign w:val="center"/>
          </w:tcPr>
          <w:p w:rsidR="00023DC8" w:rsidRPr="00ED504D" w:rsidRDefault="00023DC8" w:rsidP="00C85BA7">
            <w:pPr>
              <w:rPr>
                <w:rFonts w:ascii="Calibri" w:hAnsi="Calibri"/>
                <w:color w:val="000000"/>
                <w:sz w:val="18"/>
                <w:szCs w:val="20"/>
              </w:rPr>
            </w:pPr>
            <w:r w:rsidRPr="00ED504D">
              <w:rPr>
                <w:rFonts w:ascii="Calibri" w:hAnsi="Calibri"/>
                <w:color w:val="000000"/>
                <w:sz w:val="18"/>
                <w:szCs w:val="20"/>
              </w:rPr>
              <w:t>Finland</w:t>
            </w:r>
          </w:p>
        </w:tc>
        <w:tc>
          <w:tcPr>
            <w:tcW w:w="236" w:type="dxa"/>
          </w:tcPr>
          <w:p w:rsidR="00023DC8" w:rsidRPr="00ED504D" w:rsidRDefault="00023DC8" w:rsidP="00C85BA7">
            <w:pPr>
              <w:jc w:val="center"/>
              <w:rPr>
                <w:sz w:val="18"/>
                <w:szCs w:val="20"/>
              </w:rPr>
            </w:pPr>
          </w:p>
        </w:tc>
        <w:tc>
          <w:tcPr>
            <w:tcW w:w="1077" w:type="dxa"/>
            <w:vAlign w:val="center"/>
          </w:tcPr>
          <w:p w:rsidR="00023DC8" w:rsidRPr="001F7A12" w:rsidRDefault="00023DC8">
            <w:pPr>
              <w:rPr>
                <w:rFonts w:ascii="Calibri" w:hAnsi="Calibri"/>
                <w:b/>
                <w:bCs/>
                <w:color w:val="548DD4"/>
                <w:sz w:val="20"/>
              </w:rPr>
            </w:pPr>
            <w:r w:rsidRPr="001F7A12">
              <w:rPr>
                <w:rFonts w:ascii="Calibri" w:hAnsi="Calibri"/>
                <w:b/>
                <w:bCs/>
                <w:color w:val="548DD4"/>
                <w:sz w:val="20"/>
              </w:rPr>
              <w:t>3.341 ***</w:t>
            </w:r>
          </w:p>
        </w:tc>
        <w:tc>
          <w:tcPr>
            <w:tcW w:w="1077" w:type="dxa"/>
            <w:vAlign w:val="center"/>
          </w:tcPr>
          <w:p w:rsidR="00023DC8" w:rsidRPr="001F7A12" w:rsidRDefault="00023DC8">
            <w:pPr>
              <w:rPr>
                <w:rFonts w:ascii="Calibri" w:hAnsi="Calibri"/>
                <w:b/>
                <w:bCs/>
                <w:color w:val="548DD4"/>
                <w:sz w:val="20"/>
              </w:rPr>
            </w:pPr>
            <w:r w:rsidRPr="001F7A12">
              <w:rPr>
                <w:rFonts w:ascii="Calibri" w:hAnsi="Calibri"/>
                <w:b/>
                <w:bCs/>
                <w:color w:val="548DD4"/>
                <w:sz w:val="20"/>
              </w:rPr>
              <w:t>1.879 ***</w:t>
            </w:r>
          </w:p>
        </w:tc>
        <w:tc>
          <w:tcPr>
            <w:tcW w:w="1077" w:type="dxa"/>
            <w:vAlign w:val="center"/>
          </w:tcPr>
          <w:p w:rsidR="00023DC8" w:rsidRPr="001F7A12" w:rsidRDefault="00023DC8">
            <w:pPr>
              <w:rPr>
                <w:rFonts w:ascii="Calibri" w:hAnsi="Calibri"/>
                <w:b/>
                <w:bCs/>
                <w:color w:val="548DD4"/>
                <w:sz w:val="20"/>
              </w:rPr>
            </w:pPr>
            <w:r w:rsidRPr="001F7A12">
              <w:rPr>
                <w:rFonts w:ascii="Calibri" w:hAnsi="Calibri"/>
                <w:b/>
                <w:bCs/>
                <w:color w:val="548DD4"/>
                <w:sz w:val="20"/>
              </w:rPr>
              <w:t>3.184 ***</w:t>
            </w:r>
          </w:p>
        </w:tc>
        <w:tc>
          <w:tcPr>
            <w:tcW w:w="1078" w:type="dxa"/>
            <w:vAlign w:val="center"/>
          </w:tcPr>
          <w:p w:rsidR="00023DC8" w:rsidRPr="001F7A12" w:rsidRDefault="00023DC8">
            <w:pPr>
              <w:rPr>
                <w:rFonts w:ascii="Calibri" w:hAnsi="Calibri"/>
                <w:b/>
                <w:bCs/>
                <w:color w:val="548DD4"/>
                <w:sz w:val="20"/>
              </w:rPr>
            </w:pPr>
            <w:r w:rsidRPr="001F7A12">
              <w:rPr>
                <w:rFonts w:ascii="Calibri" w:hAnsi="Calibri"/>
                <w:b/>
                <w:bCs/>
                <w:color w:val="548DD4"/>
                <w:sz w:val="20"/>
              </w:rPr>
              <w:t>4.519 ***</w:t>
            </w:r>
          </w:p>
        </w:tc>
        <w:tc>
          <w:tcPr>
            <w:tcW w:w="236" w:type="dxa"/>
          </w:tcPr>
          <w:p w:rsidR="00023DC8" w:rsidRPr="00ED504D" w:rsidRDefault="00023DC8" w:rsidP="00C85BA7">
            <w:pPr>
              <w:rPr>
                <w:rFonts w:ascii="Calibri" w:hAnsi="Calibri"/>
                <w:color w:val="000000"/>
                <w:sz w:val="18"/>
              </w:rPr>
            </w:pPr>
          </w:p>
        </w:tc>
        <w:tc>
          <w:tcPr>
            <w:tcW w:w="1077" w:type="dxa"/>
            <w:vAlign w:val="center"/>
          </w:tcPr>
          <w:p w:rsidR="00023DC8" w:rsidRPr="001F7A12" w:rsidRDefault="00023DC8">
            <w:pPr>
              <w:rPr>
                <w:rFonts w:ascii="Calibri" w:hAnsi="Calibri"/>
                <w:b/>
                <w:bCs/>
                <w:color w:val="FF0000"/>
                <w:sz w:val="18"/>
                <w:szCs w:val="20"/>
              </w:rPr>
            </w:pPr>
            <w:r w:rsidRPr="001F7A12">
              <w:rPr>
                <w:rFonts w:ascii="Calibri" w:hAnsi="Calibri"/>
                <w:b/>
                <w:bCs/>
                <w:color w:val="FF0000"/>
                <w:sz w:val="18"/>
                <w:szCs w:val="20"/>
              </w:rPr>
              <w:t>-2.434 ***</w:t>
            </w:r>
          </w:p>
        </w:tc>
        <w:tc>
          <w:tcPr>
            <w:tcW w:w="1077" w:type="dxa"/>
            <w:vAlign w:val="center"/>
          </w:tcPr>
          <w:p w:rsidR="00023DC8" w:rsidRPr="001F7A12" w:rsidRDefault="00023DC8">
            <w:pPr>
              <w:rPr>
                <w:rFonts w:ascii="Calibri" w:hAnsi="Calibri"/>
                <w:color w:val="000000"/>
                <w:sz w:val="18"/>
                <w:szCs w:val="20"/>
              </w:rPr>
            </w:pPr>
            <w:r w:rsidRPr="001F7A12">
              <w:rPr>
                <w:rFonts w:ascii="Calibri" w:hAnsi="Calibri"/>
                <w:color w:val="000000"/>
                <w:sz w:val="18"/>
                <w:szCs w:val="20"/>
              </w:rPr>
              <w:t>-0.328</w:t>
            </w:r>
          </w:p>
        </w:tc>
        <w:tc>
          <w:tcPr>
            <w:tcW w:w="1077" w:type="dxa"/>
            <w:vAlign w:val="center"/>
          </w:tcPr>
          <w:p w:rsidR="00023DC8" w:rsidRPr="001F7A12" w:rsidRDefault="00023DC8">
            <w:pPr>
              <w:rPr>
                <w:rFonts w:ascii="Calibri" w:hAnsi="Calibri"/>
                <w:b/>
                <w:bCs/>
                <w:color w:val="FF0000"/>
                <w:sz w:val="18"/>
                <w:szCs w:val="20"/>
              </w:rPr>
            </w:pPr>
            <w:r w:rsidRPr="001F7A12">
              <w:rPr>
                <w:rFonts w:ascii="Calibri" w:hAnsi="Calibri"/>
                <w:b/>
                <w:bCs/>
                <w:color w:val="FF0000"/>
                <w:sz w:val="18"/>
                <w:szCs w:val="20"/>
              </w:rPr>
              <w:t>-5.460 **</w:t>
            </w:r>
          </w:p>
        </w:tc>
        <w:tc>
          <w:tcPr>
            <w:tcW w:w="1078" w:type="dxa"/>
            <w:vAlign w:val="center"/>
          </w:tcPr>
          <w:p w:rsidR="00023DC8" w:rsidRPr="001F7A12" w:rsidRDefault="00023DC8">
            <w:pPr>
              <w:rPr>
                <w:rFonts w:ascii="Calibri" w:hAnsi="Calibri"/>
                <w:b/>
                <w:bCs/>
                <w:color w:val="FF0000"/>
                <w:sz w:val="18"/>
                <w:szCs w:val="20"/>
              </w:rPr>
            </w:pPr>
            <w:r w:rsidRPr="001F7A12">
              <w:rPr>
                <w:rFonts w:ascii="Calibri" w:hAnsi="Calibri"/>
                <w:b/>
                <w:bCs/>
                <w:color w:val="FF0000"/>
                <w:sz w:val="18"/>
                <w:szCs w:val="20"/>
              </w:rPr>
              <w:t>-4.085 *</w:t>
            </w:r>
          </w:p>
        </w:tc>
        <w:tc>
          <w:tcPr>
            <w:tcW w:w="236" w:type="dxa"/>
          </w:tcPr>
          <w:p w:rsidR="00023DC8" w:rsidRPr="006B31B1" w:rsidRDefault="00023DC8" w:rsidP="00C85BA7">
            <w:pPr>
              <w:rPr>
                <w:rFonts w:ascii="Calibri" w:hAnsi="Calibri"/>
                <w:b/>
                <w:color w:val="FF0000"/>
                <w:sz w:val="18"/>
              </w:rPr>
            </w:pPr>
          </w:p>
        </w:tc>
        <w:tc>
          <w:tcPr>
            <w:tcW w:w="1077" w:type="dxa"/>
            <w:vAlign w:val="center"/>
          </w:tcPr>
          <w:p w:rsidR="00023DC8" w:rsidRPr="00023DC8" w:rsidRDefault="00023DC8">
            <w:pPr>
              <w:rPr>
                <w:rFonts w:ascii="Calibri" w:hAnsi="Calibri"/>
                <w:b/>
                <w:bCs/>
                <w:color w:val="FF0000"/>
                <w:sz w:val="18"/>
                <w:szCs w:val="20"/>
              </w:rPr>
            </w:pPr>
            <w:r w:rsidRPr="00023DC8">
              <w:rPr>
                <w:rFonts w:ascii="Calibri" w:hAnsi="Calibri"/>
                <w:b/>
                <w:bCs/>
                <w:color w:val="FF0000"/>
                <w:sz w:val="18"/>
                <w:szCs w:val="20"/>
              </w:rPr>
              <w:t>-4.960 ***</w:t>
            </w:r>
          </w:p>
        </w:tc>
        <w:tc>
          <w:tcPr>
            <w:tcW w:w="1077" w:type="dxa"/>
            <w:vAlign w:val="center"/>
          </w:tcPr>
          <w:p w:rsidR="00023DC8" w:rsidRPr="00023DC8" w:rsidRDefault="00023DC8">
            <w:pPr>
              <w:rPr>
                <w:rFonts w:ascii="Calibri" w:hAnsi="Calibri"/>
                <w:b/>
                <w:bCs/>
                <w:color w:val="FF0000"/>
                <w:sz w:val="18"/>
                <w:szCs w:val="20"/>
              </w:rPr>
            </w:pPr>
            <w:r w:rsidRPr="00023DC8">
              <w:rPr>
                <w:rFonts w:ascii="Calibri" w:hAnsi="Calibri"/>
                <w:b/>
                <w:bCs/>
                <w:color w:val="FF0000"/>
                <w:sz w:val="18"/>
                <w:szCs w:val="20"/>
              </w:rPr>
              <w:t>-2.637 ***</w:t>
            </w:r>
          </w:p>
        </w:tc>
        <w:tc>
          <w:tcPr>
            <w:tcW w:w="1077" w:type="dxa"/>
            <w:vAlign w:val="center"/>
          </w:tcPr>
          <w:p w:rsidR="00023DC8" w:rsidRPr="00023DC8" w:rsidRDefault="00023DC8">
            <w:pPr>
              <w:rPr>
                <w:rFonts w:ascii="Calibri" w:hAnsi="Calibri"/>
                <w:b/>
                <w:bCs/>
                <w:color w:val="FF0000"/>
                <w:sz w:val="18"/>
                <w:szCs w:val="20"/>
              </w:rPr>
            </w:pPr>
            <w:r w:rsidRPr="00023DC8">
              <w:rPr>
                <w:rFonts w:ascii="Calibri" w:hAnsi="Calibri"/>
                <w:b/>
                <w:bCs/>
                <w:color w:val="FF0000"/>
                <w:sz w:val="18"/>
                <w:szCs w:val="20"/>
              </w:rPr>
              <w:t>-3.434 ***</w:t>
            </w:r>
          </w:p>
        </w:tc>
        <w:tc>
          <w:tcPr>
            <w:tcW w:w="1078" w:type="dxa"/>
            <w:gridSpan w:val="2"/>
            <w:vAlign w:val="center"/>
          </w:tcPr>
          <w:p w:rsidR="00023DC8" w:rsidRPr="00023DC8" w:rsidRDefault="00023DC8">
            <w:pPr>
              <w:rPr>
                <w:rFonts w:ascii="Calibri" w:hAnsi="Calibri"/>
                <w:b/>
                <w:bCs/>
                <w:color w:val="FF0000"/>
                <w:sz w:val="18"/>
                <w:szCs w:val="20"/>
              </w:rPr>
            </w:pPr>
            <w:r w:rsidRPr="00023DC8">
              <w:rPr>
                <w:rFonts w:ascii="Calibri" w:hAnsi="Calibri"/>
                <w:b/>
                <w:bCs/>
                <w:color w:val="FF0000"/>
                <w:sz w:val="18"/>
                <w:szCs w:val="20"/>
              </w:rPr>
              <w:t>-7.227 ***</w:t>
            </w:r>
          </w:p>
        </w:tc>
      </w:tr>
      <w:tr w:rsidR="00023DC8" w:rsidRPr="00ED504D" w:rsidTr="006C43BF">
        <w:trPr>
          <w:trHeight w:val="254"/>
          <w:jc w:val="center"/>
        </w:trPr>
        <w:tc>
          <w:tcPr>
            <w:tcW w:w="1134" w:type="dxa"/>
            <w:vMerge/>
            <w:vAlign w:val="center"/>
          </w:tcPr>
          <w:p w:rsidR="00023DC8" w:rsidRPr="00ED504D" w:rsidRDefault="00023DC8" w:rsidP="00C85BA7">
            <w:pPr>
              <w:rPr>
                <w:rFonts w:ascii="Calibri" w:hAnsi="Calibri"/>
                <w:color w:val="000000"/>
                <w:sz w:val="18"/>
                <w:szCs w:val="20"/>
              </w:rPr>
            </w:pPr>
          </w:p>
        </w:tc>
        <w:tc>
          <w:tcPr>
            <w:tcW w:w="236" w:type="dxa"/>
          </w:tcPr>
          <w:p w:rsidR="00023DC8" w:rsidRPr="00ED504D" w:rsidRDefault="00023DC8" w:rsidP="00C85BA7">
            <w:pPr>
              <w:jc w:val="center"/>
              <w:rPr>
                <w:sz w:val="18"/>
                <w:szCs w:val="20"/>
              </w:rPr>
            </w:pPr>
          </w:p>
        </w:tc>
        <w:tc>
          <w:tcPr>
            <w:tcW w:w="1077" w:type="dxa"/>
            <w:vAlign w:val="center"/>
          </w:tcPr>
          <w:p w:rsidR="00023DC8" w:rsidRPr="001F7A12" w:rsidRDefault="00023DC8">
            <w:pPr>
              <w:jc w:val="right"/>
              <w:rPr>
                <w:rFonts w:ascii="Calibri" w:hAnsi="Calibri"/>
                <w:color w:val="000000"/>
                <w:sz w:val="20"/>
                <w:szCs w:val="18"/>
              </w:rPr>
            </w:pPr>
            <w:r w:rsidRPr="001F7A12">
              <w:rPr>
                <w:rFonts w:ascii="Calibri" w:hAnsi="Calibri"/>
                <w:color w:val="000000"/>
                <w:sz w:val="20"/>
                <w:szCs w:val="18"/>
              </w:rPr>
              <w:t>5.09%</w:t>
            </w:r>
          </w:p>
        </w:tc>
        <w:tc>
          <w:tcPr>
            <w:tcW w:w="1077" w:type="dxa"/>
            <w:vAlign w:val="center"/>
          </w:tcPr>
          <w:p w:rsidR="00023DC8" w:rsidRPr="001F7A12" w:rsidRDefault="00023DC8">
            <w:pPr>
              <w:jc w:val="right"/>
              <w:rPr>
                <w:rFonts w:ascii="Calibri" w:hAnsi="Calibri"/>
                <w:color w:val="000000"/>
                <w:sz w:val="20"/>
                <w:szCs w:val="18"/>
              </w:rPr>
            </w:pPr>
            <w:r w:rsidRPr="001F7A12">
              <w:rPr>
                <w:rFonts w:ascii="Calibri" w:hAnsi="Calibri"/>
                <w:color w:val="000000"/>
                <w:sz w:val="20"/>
                <w:szCs w:val="18"/>
              </w:rPr>
              <w:t>4.77%</w:t>
            </w:r>
          </w:p>
        </w:tc>
        <w:tc>
          <w:tcPr>
            <w:tcW w:w="1077" w:type="dxa"/>
            <w:vAlign w:val="center"/>
          </w:tcPr>
          <w:p w:rsidR="00023DC8" w:rsidRPr="001F7A12" w:rsidRDefault="00023DC8">
            <w:pPr>
              <w:jc w:val="right"/>
              <w:rPr>
                <w:rFonts w:ascii="Calibri" w:hAnsi="Calibri"/>
                <w:color w:val="000000"/>
                <w:sz w:val="20"/>
                <w:szCs w:val="18"/>
              </w:rPr>
            </w:pPr>
            <w:r w:rsidRPr="001F7A12">
              <w:rPr>
                <w:rFonts w:ascii="Calibri" w:hAnsi="Calibri"/>
                <w:color w:val="000000"/>
                <w:sz w:val="20"/>
                <w:szCs w:val="18"/>
              </w:rPr>
              <w:t>6.81%</w:t>
            </w:r>
          </w:p>
        </w:tc>
        <w:tc>
          <w:tcPr>
            <w:tcW w:w="1078" w:type="dxa"/>
            <w:vAlign w:val="center"/>
          </w:tcPr>
          <w:p w:rsidR="00023DC8" w:rsidRPr="001F7A12" w:rsidRDefault="00023DC8">
            <w:pPr>
              <w:jc w:val="right"/>
              <w:rPr>
                <w:rFonts w:ascii="Calibri" w:hAnsi="Calibri"/>
                <w:color w:val="000000"/>
                <w:sz w:val="20"/>
                <w:szCs w:val="18"/>
              </w:rPr>
            </w:pPr>
            <w:r w:rsidRPr="001F7A12">
              <w:rPr>
                <w:rFonts w:ascii="Calibri" w:hAnsi="Calibri"/>
                <w:color w:val="000000"/>
                <w:sz w:val="20"/>
                <w:szCs w:val="18"/>
              </w:rPr>
              <w:t>0.97%</w:t>
            </w:r>
          </w:p>
        </w:tc>
        <w:tc>
          <w:tcPr>
            <w:tcW w:w="236" w:type="dxa"/>
          </w:tcPr>
          <w:p w:rsidR="00023DC8" w:rsidRPr="006B31B1" w:rsidRDefault="00023DC8" w:rsidP="00C85BA7">
            <w:pPr>
              <w:rPr>
                <w:rFonts w:ascii="Calibri" w:hAnsi="Calibri"/>
                <w:color w:val="000000"/>
                <w:sz w:val="18"/>
              </w:rPr>
            </w:pPr>
          </w:p>
        </w:tc>
        <w:tc>
          <w:tcPr>
            <w:tcW w:w="1077" w:type="dxa"/>
            <w:vAlign w:val="center"/>
          </w:tcPr>
          <w:p w:rsidR="00023DC8" w:rsidRPr="001F7A12" w:rsidRDefault="00023DC8">
            <w:pPr>
              <w:jc w:val="right"/>
              <w:rPr>
                <w:rFonts w:ascii="Calibri" w:hAnsi="Calibri"/>
                <w:color w:val="000000"/>
                <w:sz w:val="18"/>
                <w:szCs w:val="18"/>
              </w:rPr>
            </w:pPr>
            <w:r w:rsidRPr="001F7A12">
              <w:rPr>
                <w:rFonts w:ascii="Calibri" w:hAnsi="Calibri"/>
                <w:color w:val="000000"/>
                <w:sz w:val="18"/>
                <w:szCs w:val="18"/>
              </w:rPr>
              <w:t>0.82%</w:t>
            </w:r>
          </w:p>
        </w:tc>
        <w:tc>
          <w:tcPr>
            <w:tcW w:w="1077" w:type="dxa"/>
            <w:vAlign w:val="center"/>
          </w:tcPr>
          <w:p w:rsidR="00023DC8" w:rsidRPr="001F7A12" w:rsidRDefault="00023DC8">
            <w:pPr>
              <w:jc w:val="right"/>
              <w:rPr>
                <w:rFonts w:ascii="Calibri" w:hAnsi="Calibri"/>
                <w:color w:val="000000"/>
                <w:sz w:val="18"/>
                <w:szCs w:val="18"/>
              </w:rPr>
            </w:pPr>
            <w:r w:rsidRPr="001F7A12">
              <w:rPr>
                <w:rFonts w:ascii="Calibri" w:hAnsi="Calibri"/>
                <w:color w:val="000000"/>
                <w:sz w:val="18"/>
                <w:szCs w:val="18"/>
              </w:rPr>
              <w:t>0.05%</w:t>
            </w:r>
          </w:p>
        </w:tc>
        <w:tc>
          <w:tcPr>
            <w:tcW w:w="1077" w:type="dxa"/>
            <w:vAlign w:val="center"/>
          </w:tcPr>
          <w:p w:rsidR="00023DC8" w:rsidRPr="001F7A12" w:rsidRDefault="00023DC8">
            <w:pPr>
              <w:jc w:val="right"/>
              <w:rPr>
                <w:rFonts w:ascii="Calibri" w:hAnsi="Calibri"/>
                <w:color w:val="000000"/>
                <w:sz w:val="18"/>
                <w:szCs w:val="18"/>
              </w:rPr>
            </w:pPr>
            <w:r w:rsidRPr="001F7A12">
              <w:rPr>
                <w:rFonts w:ascii="Calibri" w:hAnsi="Calibri"/>
                <w:color w:val="000000"/>
                <w:sz w:val="18"/>
                <w:szCs w:val="18"/>
              </w:rPr>
              <w:t>0.83%</w:t>
            </w:r>
          </w:p>
        </w:tc>
        <w:tc>
          <w:tcPr>
            <w:tcW w:w="1078" w:type="dxa"/>
            <w:vAlign w:val="center"/>
          </w:tcPr>
          <w:p w:rsidR="00023DC8" w:rsidRPr="001F7A12" w:rsidRDefault="00023DC8">
            <w:pPr>
              <w:jc w:val="right"/>
              <w:rPr>
                <w:rFonts w:ascii="Calibri" w:hAnsi="Calibri"/>
                <w:color w:val="000000"/>
                <w:sz w:val="18"/>
                <w:szCs w:val="18"/>
              </w:rPr>
            </w:pPr>
            <w:r w:rsidRPr="001F7A12">
              <w:rPr>
                <w:rFonts w:ascii="Calibri" w:hAnsi="Calibri"/>
                <w:color w:val="000000"/>
                <w:sz w:val="18"/>
                <w:szCs w:val="18"/>
              </w:rPr>
              <w:t>0.29%</w:t>
            </w:r>
          </w:p>
        </w:tc>
        <w:tc>
          <w:tcPr>
            <w:tcW w:w="236" w:type="dxa"/>
          </w:tcPr>
          <w:p w:rsidR="00023DC8" w:rsidRPr="006B31B1" w:rsidRDefault="00023DC8" w:rsidP="00C85BA7">
            <w:pPr>
              <w:rPr>
                <w:rFonts w:ascii="Calibri" w:hAnsi="Calibri"/>
                <w:color w:val="000000"/>
                <w:sz w:val="18"/>
              </w:rPr>
            </w:pPr>
          </w:p>
        </w:tc>
        <w:tc>
          <w:tcPr>
            <w:tcW w:w="1077" w:type="dxa"/>
            <w:vAlign w:val="center"/>
          </w:tcPr>
          <w:p w:rsidR="00023DC8" w:rsidRPr="00023DC8" w:rsidRDefault="00023DC8">
            <w:pPr>
              <w:jc w:val="right"/>
              <w:rPr>
                <w:rFonts w:ascii="Calibri" w:hAnsi="Calibri"/>
                <w:color w:val="000000"/>
                <w:sz w:val="18"/>
                <w:szCs w:val="18"/>
              </w:rPr>
            </w:pPr>
            <w:r w:rsidRPr="00023DC8">
              <w:rPr>
                <w:rFonts w:ascii="Calibri" w:hAnsi="Calibri"/>
                <w:color w:val="000000"/>
                <w:sz w:val="18"/>
                <w:szCs w:val="18"/>
              </w:rPr>
              <w:t>9.23%</w:t>
            </w:r>
          </w:p>
        </w:tc>
        <w:tc>
          <w:tcPr>
            <w:tcW w:w="1077" w:type="dxa"/>
            <w:vAlign w:val="center"/>
          </w:tcPr>
          <w:p w:rsidR="00023DC8" w:rsidRPr="00023DC8" w:rsidRDefault="00023DC8">
            <w:pPr>
              <w:jc w:val="right"/>
              <w:rPr>
                <w:rFonts w:ascii="Calibri" w:hAnsi="Calibri"/>
                <w:color w:val="000000"/>
                <w:sz w:val="18"/>
                <w:szCs w:val="18"/>
              </w:rPr>
            </w:pPr>
            <w:r w:rsidRPr="00023DC8">
              <w:rPr>
                <w:rFonts w:ascii="Calibri" w:hAnsi="Calibri"/>
                <w:color w:val="000000"/>
                <w:sz w:val="18"/>
                <w:szCs w:val="18"/>
              </w:rPr>
              <w:t>7.17%</w:t>
            </w:r>
          </w:p>
        </w:tc>
        <w:tc>
          <w:tcPr>
            <w:tcW w:w="1077" w:type="dxa"/>
            <w:vAlign w:val="center"/>
          </w:tcPr>
          <w:p w:rsidR="00023DC8" w:rsidRPr="00023DC8" w:rsidRDefault="00023DC8">
            <w:pPr>
              <w:jc w:val="right"/>
              <w:rPr>
                <w:rFonts w:ascii="Calibri" w:hAnsi="Calibri"/>
                <w:color w:val="000000"/>
                <w:sz w:val="18"/>
                <w:szCs w:val="18"/>
              </w:rPr>
            </w:pPr>
            <w:r w:rsidRPr="00023DC8">
              <w:rPr>
                <w:rFonts w:ascii="Calibri" w:hAnsi="Calibri"/>
                <w:color w:val="000000"/>
                <w:sz w:val="18"/>
                <w:szCs w:val="18"/>
              </w:rPr>
              <w:t>7.78%</w:t>
            </w:r>
          </w:p>
        </w:tc>
        <w:tc>
          <w:tcPr>
            <w:tcW w:w="1078" w:type="dxa"/>
            <w:gridSpan w:val="2"/>
            <w:vAlign w:val="center"/>
          </w:tcPr>
          <w:p w:rsidR="00023DC8" w:rsidRPr="00023DC8" w:rsidRDefault="00023DC8">
            <w:pPr>
              <w:jc w:val="right"/>
              <w:rPr>
                <w:rFonts w:ascii="Calibri" w:hAnsi="Calibri"/>
                <w:color w:val="000000"/>
                <w:sz w:val="18"/>
                <w:szCs w:val="18"/>
              </w:rPr>
            </w:pPr>
            <w:r w:rsidRPr="00023DC8">
              <w:rPr>
                <w:rFonts w:ascii="Calibri" w:hAnsi="Calibri"/>
                <w:color w:val="000000"/>
                <w:sz w:val="18"/>
                <w:szCs w:val="18"/>
              </w:rPr>
              <w:t>2.14%</w:t>
            </w:r>
          </w:p>
        </w:tc>
      </w:tr>
      <w:tr w:rsidR="00023DC8" w:rsidRPr="00ED504D" w:rsidTr="006C43BF">
        <w:trPr>
          <w:trHeight w:val="254"/>
          <w:jc w:val="center"/>
        </w:trPr>
        <w:tc>
          <w:tcPr>
            <w:tcW w:w="1134" w:type="dxa"/>
            <w:vMerge w:val="restart"/>
            <w:vAlign w:val="center"/>
          </w:tcPr>
          <w:p w:rsidR="00023DC8" w:rsidRPr="00ED504D" w:rsidRDefault="00023DC8" w:rsidP="00C85BA7">
            <w:pPr>
              <w:rPr>
                <w:rFonts w:ascii="Calibri" w:hAnsi="Calibri"/>
                <w:color w:val="000000"/>
                <w:sz w:val="18"/>
                <w:szCs w:val="20"/>
              </w:rPr>
            </w:pPr>
            <w:r w:rsidRPr="00ED504D">
              <w:rPr>
                <w:rFonts w:ascii="Calibri" w:hAnsi="Calibri"/>
                <w:color w:val="000000"/>
                <w:sz w:val="18"/>
                <w:szCs w:val="20"/>
              </w:rPr>
              <w:t>France</w:t>
            </w:r>
          </w:p>
        </w:tc>
        <w:tc>
          <w:tcPr>
            <w:tcW w:w="236" w:type="dxa"/>
          </w:tcPr>
          <w:p w:rsidR="00023DC8" w:rsidRPr="00ED504D" w:rsidRDefault="00023DC8" w:rsidP="00C85BA7">
            <w:pPr>
              <w:jc w:val="center"/>
              <w:rPr>
                <w:sz w:val="18"/>
                <w:szCs w:val="20"/>
              </w:rPr>
            </w:pPr>
          </w:p>
        </w:tc>
        <w:tc>
          <w:tcPr>
            <w:tcW w:w="1077" w:type="dxa"/>
            <w:vAlign w:val="center"/>
          </w:tcPr>
          <w:p w:rsidR="00023DC8" w:rsidRPr="001F7A12" w:rsidRDefault="00023DC8">
            <w:pPr>
              <w:rPr>
                <w:rFonts w:ascii="Calibri" w:hAnsi="Calibri"/>
                <w:b/>
                <w:bCs/>
                <w:color w:val="548DD4"/>
                <w:sz w:val="20"/>
              </w:rPr>
            </w:pPr>
            <w:r w:rsidRPr="001F7A12">
              <w:rPr>
                <w:rFonts w:ascii="Calibri" w:hAnsi="Calibri"/>
                <w:b/>
                <w:bCs/>
                <w:color w:val="548DD4"/>
                <w:sz w:val="20"/>
              </w:rPr>
              <w:t>4.692 ***</w:t>
            </w:r>
          </w:p>
        </w:tc>
        <w:tc>
          <w:tcPr>
            <w:tcW w:w="1077" w:type="dxa"/>
            <w:vAlign w:val="center"/>
          </w:tcPr>
          <w:p w:rsidR="00023DC8" w:rsidRPr="001F7A12" w:rsidRDefault="00023DC8">
            <w:pPr>
              <w:rPr>
                <w:rFonts w:ascii="Calibri" w:hAnsi="Calibri"/>
                <w:b/>
                <w:bCs/>
                <w:color w:val="548DD4"/>
                <w:sz w:val="20"/>
              </w:rPr>
            </w:pPr>
            <w:r w:rsidRPr="001F7A12">
              <w:rPr>
                <w:rFonts w:ascii="Calibri" w:hAnsi="Calibri"/>
                <w:b/>
                <w:bCs/>
                <w:color w:val="548DD4"/>
                <w:sz w:val="20"/>
              </w:rPr>
              <w:t>2.121 ***</w:t>
            </w:r>
          </w:p>
        </w:tc>
        <w:tc>
          <w:tcPr>
            <w:tcW w:w="1077" w:type="dxa"/>
            <w:vAlign w:val="center"/>
          </w:tcPr>
          <w:p w:rsidR="00023DC8" w:rsidRPr="001F7A12" w:rsidRDefault="00023DC8">
            <w:pPr>
              <w:rPr>
                <w:rFonts w:ascii="Calibri" w:hAnsi="Calibri"/>
                <w:b/>
                <w:bCs/>
                <w:color w:val="548DD4"/>
                <w:sz w:val="20"/>
              </w:rPr>
            </w:pPr>
            <w:r w:rsidRPr="001F7A12">
              <w:rPr>
                <w:rFonts w:ascii="Calibri" w:hAnsi="Calibri"/>
                <w:b/>
                <w:bCs/>
                <w:color w:val="548DD4"/>
                <w:sz w:val="20"/>
              </w:rPr>
              <w:t>3.685 ***</w:t>
            </w:r>
          </w:p>
        </w:tc>
        <w:tc>
          <w:tcPr>
            <w:tcW w:w="1078" w:type="dxa"/>
            <w:vAlign w:val="center"/>
          </w:tcPr>
          <w:p w:rsidR="00023DC8" w:rsidRPr="001F7A12" w:rsidRDefault="00023DC8">
            <w:pPr>
              <w:rPr>
                <w:rFonts w:ascii="Calibri" w:hAnsi="Calibri"/>
                <w:b/>
                <w:bCs/>
                <w:color w:val="548DD4"/>
                <w:sz w:val="20"/>
              </w:rPr>
            </w:pPr>
            <w:r w:rsidRPr="001F7A12">
              <w:rPr>
                <w:rFonts w:ascii="Calibri" w:hAnsi="Calibri"/>
                <w:b/>
                <w:bCs/>
                <w:color w:val="548DD4"/>
                <w:sz w:val="20"/>
              </w:rPr>
              <w:t>5.103 ***</w:t>
            </w:r>
          </w:p>
        </w:tc>
        <w:tc>
          <w:tcPr>
            <w:tcW w:w="236" w:type="dxa"/>
          </w:tcPr>
          <w:p w:rsidR="00023DC8" w:rsidRPr="00ED504D" w:rsidRDefault="00023DC8" w:rsidP="00C85BA7">
            <w:pPr>
              <w:rPr>
                <w:rFonts w:ascii="Calibri" w:hAnsi="Calibri"/>
                <w:color w:val="000000"/>
                <w:sz w:val="18"/>
              </w:rPr>
            </w:pPr>
          </w:p>
        </w:tc>
        <w:tc>
          <w:tcPr>
            <w:tcW w:w="1077" w:type="dxa"/>
            <w:vAlign w:val="center"/>
          </w:tcPr>
          <w:p w:rsidR="00023DC8" w:rsidRPr="001F7A12" w:rsidRDefault="00023DC8">
            <w:pPr>
              <w:rPr>
                <w:rFonts w:ascii="Calibri" w:hAnsi="Calibri"/>
                <w:color w:val="000000"/>
                <w:sz w:val="18"/>
                <w:szCs w:val="20"/>
              </w:rPr>
            </w:pPr>
            <w:r w:rsidRPr="001F7A12">
              <w:rPr>
                <w:rFonts w:ascii="Calibri" w:hAnsi="Calibri"/>
                <w:color w:val="000000"/>
                <w:sz w:val="18"/>
                <w:szCs w:val="20"/>
              </w:rPr>
              <w:t>-2.244</w:t>
            </w:r>
          </w:p>
        </w:tc>
        <w:tc>
          <w:tcPr>
            <w:tcW w:w="1077" w:type="dxa"/>
            <w:vAlign w:val="center"/>
          </w:tcPr>
          <w:p w:rsidR="00023DC8" w:rsidRPr="001F7A12" w:rsidRDefault="00023DC8">
            <w:pPr>
              <w:rPr>
                <w:rFonts w:ascii="Calibri" w:hAnsi="Calibri"/>
                <w:color w:val="000000"/>
                <w:sz w:val="18"/>
                <w:szCs w:val="20"/>
              </w:rPr>
            </w:pPr>
            <w:r w:rsidRPr="001F7A12">
              <w:rPr>
                <w:rFonts w:ascii="Calibri" w:hAnsi="Calibri"/>
                <w:color w:val="000000"/>
                <w:sz w:val="18"/>
                <w:szCs w:val="20"/>
              </w:rPr>
              <w:t>-0.264</w:t>
            </w:r>
          </w:p>
        </w:tc>
        <w:tc>
          <w:tcPr>
            <w:tcW w:w="1077" w:type="dxa"/>
            <w:vAlign w:val="center"/>
          </w:tcPr>
          <w:p w:rsidR="00023DC8" w:rsidRPr="001F7A12" w:rsidRDefault="00023DC8">
            <w:pPr>
              <w:rPr>
                <w:rFonts w:ascii="Calibri" w:hAnsi="Calibri"/>
                <w:color w:val="000000"/>
                <w:sz w:val="18"/>
                <w:szCs w:val="20"/>
              </w:rPr>
            </w:pPr>
            <w:r w:rsidRPr="001F7A12">
              <w:rPr>
                <w:rFonts w:ascii="Calibri" w:hAnsi="Calibri"/>
                <w:color w:val="000000"/>
                <w:sz w:val="18"/>
                <w:szCs w:val="20"/>
              </w:rPr>
              <w:t>-4.334</w:t>
            </w:r>
          </w:p>
        </w:tc>
        <w:tc>
          <w:tcPr>
            <w:tcW w:w="1078" w:type="dxa"/>
            <w:vAlign w:val="center"/>
          </w:tcPr>
          <w:p w:rsidR="00023DC8" w:rsidRPr="001F7A12" w:rsidRDefault="00023DC8">
            <w:pPr>
              <w:rPr>
                <w:rFonts w:ascii="Calibri" w:hAnsi="Calibri"/>
                <w:color w:val="000000"/>
                <w:sz w:val="18"/>
                <w:szCs w:val="20"/>
              </w:rPr>
            </w:pPr>
            <w:r w:rsidRPr="001F7A12">
              <w:rPr>
                <w:rFonts w:ascii="Calibri" w:hAnsi="Calibri"/>
                <w:color w:val="000000"/>
                <w:sz w:val="18"/>
                <w:szCs w:val="20"/>
              </w:rPr>
              <w:t>-4.448</w:t>
            </w:r>
          </w:p>
        </w:tc>
        <w:tc>
          <w:tcPr>
            <w:tcW w:w="236" w:type="dxa"/>
          </w:tcPr>
          <w:p w:rsidR="00023DC8" w:rsidRPr="006B31B1" w:rsidRDefault="00023DC8" w:rsidP="00C85BA7">
            <w:pPr>
              <w:rPr>
                <w:rFonts w:ascii="Calibri" w:hAnsi="Calibri"/>
                <w:b/>
                <w:color w:val="FF0000"/>
                <w:sz w:val="18"/>
              </w:rPr>
            </w:pPr>
          </w:p>
        </w:tc>
        <w:tc>
          <w:tcPr>
            <w:tcW w:w="1077" w:type="dxa"/>
            <w:vAlign w:val="center"/>
          </w:tcPr>
          <w:p w:rsidR="00023DC8" w:rsidRPr="00023DC8" w:rsidRDefault="00023DC8">
            <w:pPr>
              <w:rPr>
                <w:rFonts w:ascii="Calibri" w:hAnsi="Calibri"/>
                <w:b/>
                <w:bCs/>
                <w:color w:val="FF0000"/>
                <w:sz w:val="18"/>
                <w:szCs w:val="20"/>
              </w:rPr>
            </w:pPr>
            <w:r w:rsidRPr="00023DC8">
              <w:rPr>
                <w:rFonts w:ascii="Calibri" w:hAnsi="Calibri"/>
                <w:b/>
                <w:bCs/>
                <w:color w:val="FF0000"/>
                <w:sz w:val="18"/>
                <w:szCs w:val="20"/>
              </w:rPr>
              <w:t>-6.523 ***</w:t>
            </w:r>
          </w:p>
        </w:tc>
        <w:tc>
          <w:tcPr>
            <w:tcW w:w="1077" w:type="dxa"/>
            <w:vAlign w:val="center"/>
          </w:tcPr>
          <w:p w:rsidR="00023DC8" w:rsidRPr="00023DC8" w:rsidRDefault="00023DC8">
            <w:pPr>
              <w:rPr>
                <w:rFonts w:ascii="Calibri" w:hAnsi="Calibri"/>
                <w:b/>
                <w:bCs/>
                <w:color w:val="FF0000"/>
                <w:sz w:val="18"/>
                <w:szCs w:val="20"/>
              </w:rPr>
            </w:pPr>
            <w:r w:rsidRPr="00023DC8">
              <w:rPr>
                <w:rFonts w:ascii="Calibri" w:hAnsi="Calibri"/>
                <w:b/>
                <w:bCs/>
                <w:color w:val="FF0000"/>
                <w:sz w:val="18"/>
                <w:szCs w:val="20"/>
              </w:rPr>
              <w:t>-2.909 ***</w:t>
            </w:r>
          </w:p>
        </w:tc>
        <w:tc>
          <w:tcPr>
            <w:tcW w:w="1077" w:type="dxa"/>
            <w:vAlign w:val="center"/>
          </w:tcPr>
          <w:p w:rsidR="00023DC8" w:rsidRPr="00023DC8" w:rsidRDefault="00023DC8">
            <w:pPr>
              <w:rPr>
                <w:rFonts w:ascii="Calibri" w:hAnsi="Calibri"/>
                <w:b/>
                <w:bCs/>
                <w:color w:val="FF0000"/>
                <w:sz w:val="18"/>
                <w:szCs w:val="20"/>
              </w:rPr>
            </w:pPr>
            <w:r w:rsidRPr="00023DC8">
              <w:rPr>
                <w:rFonts w:ascii="Calibri" w:hAnsi="Calibri"/>
                <w:b/>
                <w:bCs/>
                <w:color w:val="FF0000"/>
                <w:sz w:val="18"/>
                <w:szCs w:val="20"/>
              </w:rPr>
              <w:t>-3.933 ***</w:t>
            </w:r>
          </w:p>
        </w:tc>
        <w:tc>
          <w:tcPr>
            <w:tcW w:w="1078" w:type="dxa"/>
            <w:gridSpan w:val="2"/>
            <w:vAlign w:val="center"/>
          </w:tcPr>
          <w:p w:rsidR="00023DC8" w:rsidRPr="00023DC8" w:rsidRDefault="00023DC8">
            <w:pPr>
              <w:rPr>
                <w:rFonts w:ascii="Calibri" w:hAnsi="Calibri"/>
                <w:b/>
                <w:bCs/>
                <w:color w:val="FF0000"/>
                <w:sz w:val="18"/>
                <w:szCs w:val="20"/>
              </w:rPr>
            </w:pPr>
            <w:r w:rsidRPr="00023DC8">
              <w:rPr>
                <w:rFonts w:ascii="Calibri" w:hAnsi="Calibri"/>
                <w:b/>
                <w:bCs/>
                <w:color w:val="FF0000"/>
                <w:sz w:val="18"/>
                <w:szCs w:val="20"/>
              </w:rPr>
              <w:t>-8.564 ***</w:t>
            </w:r>
          </w:p>
        </w:tc>
      </w:tr>
      <w:tr w:rsidR="00023DC8" w:rsidRPr="00ED504D" w:rsidTr="006C43BF">
        <w:trPr>
          <w:trHeight w:val="254"/>
          <w:jc w:val="center"/>
        </w:trPr>
        <w:tc>
          <w:tcPr>
            <w:tcW w:w="1134" w:type="dxa"/>
            <w:vMerge/>
            <w:vAlign w:val="center"/>
          </w:tcPr>
          <w:p w:rsidR="00023DC8" w:rsidRPr="00ED504D" w:rsidRDefault="00023DC8" w:rsidP="00C85BA7">
            <w:pPr>
              <w:rPr>
                <w:rFonts w:ascii="Calibri" w:hAnsi="Calibri"/>
                <w:color w:val="000000"/>
                <w:sz w:val="18"/>
                <w:szCs w:val="20"/>
              </w:rPr>
            </w:pPr>
          </w:p>
        </w:tc>
        <w:tc>
          <w:tcPr>
            <w:tcW w:w="236" w:type="dxa"/>
          </w:tcPr>
          <w:p w:rsidR="00023DC8" w:rsidRPr="00ED504D" w:rsidRDefault="00023DC8" w:rsidP="00C85BA7">
            <w:pPr>
              <w:jc w:val="center"/>
              <w:rPr>
                <w:sz w:val="18"/>
                <w:szCs w:val="20"/>
              </w:rPr>
            </w:pPr>
          </w:p>
        </w:tc>
        <w:tc>
          <w:tcPr>
            <w:tcW w:w="1077" w:type="dxa"/>
            <w:vAlign w:val="center"/>
          </w:tcPr>
          <w:p w:rsidR="00023DC8" w:rsidRPr="001F7A12" w:rsidRDefault="00023DC8">
            <w:pPr>
              <w:jc w:val="right"/>
              <w:rPr>
                <w:rFonts w:ascii="Calibri" w:hAnsi="Calibri"/>
                <w:color w:val="000000"/>
                <w:sz w:val="20"/>
                <w:szCs w:val="18"/>
              </w:rPr>
            </w:pPr>
            <w:r w:rsidRPr="001F7A12">
              <w:rPr>
                <w:rFonts w:ascii="Calibri" w:hAnsi="Calibri"/>
                <w:color w:val="000000"/>
                <w:sz w:val="20"/>
                <w:szCs w:val="18"/>
              </w:rPr>
              <w:t>4.67%</w:t>
            </w:r>
          </w:p>
        </w:tc>
        <w:tc>
          <w:tcPr>
            <w:tcW w:w="1077" w:type="dxa"/>
            <w:vAlign w:val="center"/>
          </w:tcPr>
          <w:p w:rsidR="00023DC8" w:rsidRPr="001F7A12" w:rsidRDefault="00023DC8">
            <w:pPr>
              <w:jc w:val="right"/>
              <w:rPr>
                <w:rFonts w:ascii="Calibri" w:hAnsi="Calibri"/>
                <w:color w:val="000000"/>
                <w:sz w:val="20"/>
                <w:szCs w:val="18"/>
              </w:rPr>
            </w:pPr>
            <w:r w:rsidRPr="001F7A12">
              <w:rPr>
                <w:rFonts w:ascii="Calibri" w:hAnsi="Calibri"/>
                <w:color w:val="000000"/>
                <w:sz w:val="20"/>
                <w:szCs w:val="18"/>
              </w:rPr>
              <w:t>3.33%</w:t>
            </w:r>
          </w:p>
        </w:tc>
        <w:tc>
          <w:tcPr>
            <w:tcW w:w="1077" w:type="dxa"/>
            <w:vAlign w:val="center"/>
          </w:tcPr>
          <w:p w:rsidR="00023DC8" w:rsidRPr="001F7A12" w:rsidRDefault="00023DC8">
            <w:pPr>
              <w:jc w:val="right"/>
              <w:rPr>
                <w:rFonts w:ascii="Calibri" w:hAnsi="Calibri"/>
                <w:color w:val="000000"/>
                <w:sz w:val="20"/>
                <w:szCs w:val="18"/>
              </w:rPr>
            </w:pPr>
            <w:r w:rsidRPr="001F7A12">
              <w:rPr>
                <w:rFonts w:ascii="Calibri" w:hAnsi="Calibri"/>
                <w:color w:val="000000"/>
                <w:sz w:val="20"/>
                <w:szCs w:val="18"/>
              </w:rPr>
              <w:t>4.15%</w:t>
            </w:r>
          </w:p>
        </w:tc>
        <w:tc>
          <w:tcPr>
            <w:tcW w:w="1078" w:type="dxa"/>
            <w:vAlign w:val="center"/>
          </w:tcPr>
          <w:p w:rsidR="00023DC8" w:rsidRPr="001F7A12" w:rsidRDefault="00023DC8">
            <w:pPr>
              <w:jc w:val="right"/>
              <w:rPr>
                <w:rFonts w:ascii="Calibri" w:hAnsi="Calibri"/>
                <w:color w:val="000000"/>
                <w:sz w:val="20"/>
                <w:szCs w:val="18"/>
              </w:rPr>
            </w:pPr>
            <w:r w:rsidRPr="001F7A12">
              <w:rPr>
                <w:rFonts w:ascii="Calibri" w:hAnsi="Calibri"/>
                <w:color w:val="000000"/>
                <w:sz w:val="20"/>
                <w:szCs w:val="18"/>
              </w:rPr>
              <w:t>1.19%</w:t>
            </w:r>
          </w:p>
        </w:tc>
        <w:tc>
          <w:tcPr>
            <w:tcW w:w="236" w:type="dxa"/>
          </w:tcPr>
          <w:p w:rsidR="00023DC8" w:rsidRPr="006B31B1" w:rsidRDefault="00023DC8" w:rsidP="00C85BA7">
            <w:pPr>
              <w:rPr>
                <w:rFonts w:ascii="Calibri" w:hAnsi="Calibri"/>
                <w:color w:val="000000"/>
                <w:sz w:val="18"/>
              </w:rPr>
            </w:pPr>
          </w:p>
        </w:tc>
        <w:tc>
          <w:tcPr>
            <w:tcW w:w="1077" w:type="dxa"/>
            <w:vAlign w:val="center"/>
          </w:tcPr>
          <w:p w:rsidR="00023DC8" w:rsidRPr="001F7A12" w:rsidRDefault="00023DC8">
            <w:pPr>
              <w:jc w:val="right"/>
              <w:rPr>
                <w:rFonts w:ascii="Calibri" w:hAnsi="Calibri"/>
                <w:color w:val="000000"/>
                <w:sz w:val="18"/>
                <w:szCs w:val="18"/>
              </w:rPr>
            </w:pPr>
            <w:r w:rsidRPr="001F7A12">
              <w:rPr>
                <w:rFonts w:ascii="Calibri" w:hAnsi="Calibri"/>
                <w:color w:val="000000"/>
                <w:sz w:val="18"/>
                <w:szCs w:val="18"/>
              </w:rPr>
              <w:t>0.31%</w:t>
            </w:r>
          </w:p>
        </w:tc>
        <w:tc>
          <w:tcPr>
            <w:tcW w:w="1077" w:type="dxa"/>
            <w:vAlign w:val="center"/>
          </w:tcPr>
          <w:p w:rsidR="00023DC8" w:rsidRPr="001F7A12" w:rsidRDefault="00023DC8">
            <w:pPr>
              <w:jc w:val="right"/>
              <w:rPr>
                <w:rFonts w:ascii="Calibri" w:hAnsi="Calibri"/>
                <w:color w:val="000000"/>
                <w:sz w:val="18"/>
                <w:szCs w:val="18"/>
              </w:rPr>
            </w:pPr>
            <w:r w:rsidRPr="001F7A12">
              <w:rPr>
                <w:rFonts w:ascii="Calibri" w:hAnsi="Calibri"/>
                <w:color w:val="000000"/>
                <w:sz w:val="18"/>
                <w:szCs w:val="18"/>
              </w:rPr>
              <w:t>0.02%</w:t>
            </w:r>
          </w:p>
        </w:tc>
        <w:tc>
          <w:tcPr>
            <w:tcW w:w="1077" w:type="dxa"/>
            <w:vAlign w:val="center"/>
          </w:tcPr>
          <w:p w:rsidR="00023DC8" w:rsidRPr="001F7A12" w:rsidRDefault="00023DC8">
            <w:pPr>
              <w:jc w:val="right"/>
              <w:rPr>
                <w:rFonts w:ascii="Calibri" w:hAnsi="Calibri"/>
                <w:color w:val="000000"/>
                <w:sz w:val="18"/>
                <w:szCs w:val="18"/>
              </w:rPr>
            </w:pPr>
            <w:r w:rsidRPr="001F7A12">
              <w:rPr>
                <w:rFonts w:ascii="Calibri" w:hAnsi="Calibri"/>
                <w:color w:val="000000"/>
                <w:sz w:val="18"/>
                <w:szCs w:val="18"/>
              </w:rPr>
              <w:t>0.24%</w:t>
            </w:r>
          </w:p>
        </w:tc>
        <w:tc>
          <w:tcPr>
            <w:tcW w:w="1078" w:type="dxa"/>
            <w:vAlign w:val="center"/>
          </w:tcPr>
          <w:p w:rsidR="00023DC8" w:rsidRPr="001F7A12" w:rsidRDefault="00023DC8">
            <w:pPr>
              <w:jc w:val="right"/>
              <w:rPr>
                <w:rFonts w:ascii="Calibri" w:hAnsi="Calibri"/>
                <w:color w:val="000000"/>
                <w:sz w:val="18"/>
                <w:szCs w:val="18"/>
              </w:rPr>
            </w:pPr>
            <w:r w:rsidRPr="001F7A12">
              <w:rPr>
                <w:rFonts w:ascii="Calibri" w:hAnsi="Calibri"/>
                <w:color w:val="000000"/>
                <w:sz w:val="18"/>
                <w:szCs w:val="18"/>
              </w:rPr>
              <w:t>0.35%</w:t>
            </w:r>
          </w:p>
        </w:tc>
        <w:tc>
          <w:tcPr>
            <w:tcW w:w="236" w:type="dxa"/>
          </w:tcPr>
          <w:p w:rsidR="00023DC8" w:rsidRPr="006B31B1" w:rsidRDefault="00023DC8" w:rsidP="00C85BA7">
            <w:pPr>
              <w:rPr>
                <w:rFonts w:ascii="Calibri" w:hAnsi="Calibri"/>
                <w:color w:val="000000"/>
                <w:sz w:val="18"/>
              </w:rPr>
            </w:pPr>
          </w:p>
        </w:tc>
        <w:tc>
          <w:tcPr>
            <w:tcW w:w="1077" w:type="dxa"/>
            <w:vAlign w:val="center"/>
          </w:tcPr>
          <w:p w:rsidR="00023DC8" w:rsidRPr="00023DC8" w:rsidRDefault="00023DC8">
            <w:pPr>
              <w:jc w:val="right"/>
              <w:rPr>
                <w:rFonts w:ascii="Calibri" w:hAnsi="Calibri"/>
                <w:color w:val="000000"/>
                <w:sz w:val="18"/>
                <w:szCs w:val="18"/>
              </w:rPr>
            </w:pPr>
            <w:r w:rsidRPr="00023DC8">
              <w:rPr>
                <w:rFonts w:ascii="Calibri" w:hAnsi="Calibri"/>
                <w:color w:val="000000"/>
                <w:sz w:val="18"/>
                <w:szCs w:val="18"/>
              </w:rPr>
              <w:t>7.25%</w:t>
            </w:r>
          </w:p>
        </w:tc>
        <w:tc>
          <w:tcPr>
            <w:tcW w:w="1077" w:type="dxa"/>
            <w:vAlign w:val="center"/>
          </w:tcPr>
          <w:p w:rsidR="00023DC8" w:rsidRPr="00023DC8" w:rsidRDefault="00023DC8">
            <w:pPr>
              <w:jc w:val="right"/>
              <w:rPr>
                <w:rFonts w:ascii="Calibri" w:hAnsi="Calibri"/>
                <w:color w:val="000000"/>
                <w:sz w:val="18"/>
                <w:szCs w:val="18"/>
              </w:rPr>
            </w:pPr>
            <w:r w:rsidRPr="00023DC8">
              <w:rPr>
                <w:rFonts w:ascii="Calibri" w:hAnsi="Calibri"/>
                <w:color w:val="000000"/>
                <w:sz w:val="18"/>
                <w:szCs w:val="18"/>
              </w:rPr>
              <w:t>4.81%</w:t>
            </w:r>
          </w:p>
        </w:tc>
        <w:tc>
          <w:tcPr>
            <w:tcW w:w="1077" w:type="dxa"/>
            <w:vAlign w:val="center"/>
          </w:tcPr>
          <w:p w:rsidR="00023DC8" w:rsidRPr="00023DC8" w:rsidRDefault="00023DC8">
            <w:pPr>
              <w:jc w:val="right"/>
              <w:rPr>
                <w:rFonts w:ascii="Calibri" w:hAnsi="Calibri"/>
                <w:color w:val="000000"/>
                <w:sz w:val="18"/>
                <w:szCs w:val="18"/>
              </w:rPr>
            </w:pPr>
            <w:r w:rsidRPr="00023DC8">
              <w:rPr>
                <w:rFonts w:ascii="Calibri" w:hAnsi="Calibri"/>
                <w:color w:val="000000"/>
                <w:sz w:val="18"/>
                <w:szCs w:val="18"/>
              </w:rPr>
              <w:t>4.67%</w:t>
            </w:r>
          </w:p>
        </w:tc>
        <w:tc>
          <w:tcPr>
            <w:tcW w:w="1078" w:type="dxa"/>
            <w:gridSpan w:val="2"/>
            <w:vAlign w:val="center"/>
          </w:tcPr>
          <w:p w:rsidR="00023DC8" w:rsidRPr="00023DC8" w:rsidRDefault="00023DC8">
            <w:pPr>
              <w:jc w:val="right"/>
              <w:rPr>
                <w:rFonts w:ascii="Calibri" w:hAnsi="Calibri"/>
                <w:color w:val="000000"/>
                <w:sz w:val="18"/>
                <w:szCs w:val="18"/>
              </w:rPr>
            </w:pPr>
            <w:r w:rsidRPr="00023DC8">
              <w:rPr>
                <w:rFonts w:ascii="Calibri" w:hAnsi="Calibri"/>
                <w:color w:val="000000"/>
                <w:sz w:val="18"/>
                <w:szCs w:val="18"/>
              </w:rPr>
              <w:t>2.84%</w:t>
            </w:r>
          </w:p>
        </w:tc>
      </w:tr>
      <w:tr w:rsidR="00023DC8" w:rsidRPr="00ED504D" w:rsidTr="006C43BF">
        <w:trPr>
          <w:trHeight w:val="254"/>
          <w:jc w:val="center"/>
        </w:trPr>
        <w:tc>
          <w:tcPr>
            <w:tcW w:w="1134" w:type="dxa"/>
            <w:vMerge w:val="restart"/>
            <w:vAlign w:val="center"/>
          </w:tcPr>
          <w:p w:rsidR="00023DC8" w:rsidRPr="00ED504D" w:rsidRDefault="00023DC8" w:rsidP="00C85BA7">
            <w:pPr>
              <w:rPr>
                <w:rFonts w:ascii="Calibri" w:hAnsi="Calibri"/>
                <w:color w:val="000000"/>
                <w:sz w:val="18"/>
                <w:szCs w:val="20"/>
              </w:rPr>
            </w:pPr>
            <w:r w:rsidRPr="00ED504D">
              <w:rPr>
                <w:rFonts w:ascii="Calibri" w:hAnsi="Calibri"/>
                <w:color w:val="000000"/>
                <w:sz w:val="18"/>
                <w:szCs w:val="20"/>
              </w:rPr>
              <w:t>Austria</w:t>
            </w:r>
          </w:p>
        </w:tc>
        <w:tc>
          <w:tcPr>
            <w:tcW w:w="236" w:type="dxa"/>
          </w:tcPr>
          <w:p w:rsidR="00023DC8" w:rsidRPr="00ED504D" w:rsidRDefault="00023DC8" w:rsidP="00C85BA7">
            <w:pPr>
              <w:jc w:val="center"/>
              <w:rPr>
                <w:sz w:val="18"/>
                <w:szCs w:val="20"/>
              </w:rPr>
            </w:pPr>
          </w:p>
        </w:tc>
        <w:tc>
          <w:tcPr>
            <w:tcW w:w="1077" w:type="dxa"/>
            <w:vAlign w:val="center"/>
          </w:tcPr>
          <w:p w:rsidR="00023DC8" w:rsidRPr="001F7A12" w:rsidRDefault="00023DC8">
            <w:pPr>
              <w:rPr>
                <w:rFonts w:ascii="Calibri" w:hAnsi="Calibri"/>
                <w:b/>
                <w:bCs/>
                <w:color w:val="548DD4"/>
                <w:sz w:val="20"/>
              </w:rPr>
            </w:pPr>
            <w:r w:rsidRPr="001F7A12">
              <w:rPr>
                <w:rFonts w:ascii="Calibri" w:hAnsi="Calibri"/>
                <w:b/>
                <w:bCs/>
                <w:color w:val="548DD4"/>
                <w:sz w:val="20"/>
              </w:rPr>
              <w:t>4.242 ***</w:t>
            </w:r>
          </w:p>
        </w:tc>
        <w:tc>
          <w:tcPr>
            <w:tcW w:w="1077" w:type="dxa"/>
            <w:vAlign w:val="center"/>
          </w:tcPr>
          <w:p w:rsidR="00023DC8" w:rsidRPr="001F7A12" w:rsidRDefault="00023DC8">
            <w:pPr>
              <w:rPr>
                <w:rFonts w:ascii="Calibri" w:hAnsi="Calibri"/>
                <w:b/>
                <w:bCs/>
                <w:color w:val="548DD4"/>
                <w:sz w:val="20"/>
              </w:rPr>
            </w:pPr>
            <w:r w:rsidRPr="001F7A12">
              <w:rPr>
                <w:rFonts w:ascii="Calibri" w:hAnsi="Calibri"/>
                <w:b/>
                <w:bCs/>
                <w:color w:val="548DD4"/>
                <w:sz w:val="20"/>
              </w:rPr>
              <w:t>2.289 ***</w:t>
            </w:r>
          </w:p>
        </w:tc>
        <w:tc>
          <w:tcPr>
            <w:tcW w:w="1077" w:type="dxa"/>
            <w:vAlign w:val="center"/>
          </w:tcPr>
          <w:p w:rsidR="00023DC8" w:rsidRPr="001F7A12" w:rsidRDefault="00023DC8">
            <w:pPr>
              <w:rPr>
                <w:rFonts w:ascii="Calibri" w:hAnsi="Calibri"/>
                <w:b/>
                <w:bCs/>
                <w:color w:val="548DD4"/>
                <w:sz w:val="20"/>
              </w:rPr>
            </w:pPr>
            <w:r w:rsidRPr="001F7A12">
              <w:rPr>
                <w:rFonts w:ascii="Calibri" w:hAnsi="Calibri"/>
                <w:b/>
                <w:bCs/>
                <w:color w:val="548DD4"/>
                <w:sz w:val="20"/>
              </w:rPr>
              <w:t>3.677 ***</w:t>
            </w:r>
          </w:p>
        </w:tc>
        <w:tc>
          <w:tcPr>
            <w:tcW w:w="1078" w:type="dxa"/>
            <w:vAlign w:val="center"/>
          </w:tcPr>
          <w:p w:rsidR="00023DC8" w:rsidRPr="001F7A12" w:rsidRDefault="00023DC8">
            <w:pPr>
              <w:rPr>
                <w:rFonts w:ascii="Calibri" w:hAnsi="Calibri"/>
                <w:b/>
                <w:bCs/>
                <w:color w:val="548DD4"/>
                <w:sz w:val="20"/>
              </w:rPr>
            </w:pPr>
            <w:r w:rsidRPr="001F7A12">
              <w:rPr>
                <w:rFonts w:ascii="Calibri" w:hAnsi="Calibri"/>
                <w:b/>
                <w:bCs/>
                <w:color w:val="548DD4"/>
                <w:sz w:val="20"/>
              </w:rPr>
              <w:t>5.037 ***</w:t>
            </w:r>
          </w:p>
        </w:tc>
        <w:tc>
          <w:tcPr>
            <w:tcW w:w="236" w:type="dxa"/>
          </w:tcPr>
          <w:p w:rsidR="00023DC8" w:rsidRPr="00ED504D" w:rsidRDefault="00023DC8" w:rsidP="00C85BA7">
            <w:pPr>
              <w:rPr>
                <w:rFonts w:ascii="Calibri" w:hAnsi="Calibri"/>
                <w:color w:val="000000"/>
                <w:sz w:val="18"/>
              </w:rPr>
            </w:pPr>
          </w:p>
        </w:tc>
        <w:tc>
          <w:tcPr>
            <w:tcW w:w="1077" w:type="dxa"/>
            <w:vAlign w:val="center"/>
          </w:tcPr>
          <w:p w:rsidR="00023DC8" w:rsidRPr="001F7A12" w:rsidRDefault="00023DC8">
            <w:pPr>
              <w:rPr>
                <w:rFonts w:ascii="Calibri" w:hAnsi="Calibri"/>
                <w:b/>
                <w:bCs/>
                <w:color w:val="FF0000"/>
                <w:sz w:val="18"/>
                <w:szCs w:val="20"/>
              </w:rPr>
            </w:pPr>
            <w:r w:rsidRPr="001F7A12">
              <w:rPr>
                <w:rFonts w:ascii="Calibri" w:hAnsi="Calibri"/>
                <w:b/>
                <w:bCs/>
                <w:color w:val="FF0000"/>
                <w:sz w:val="18"/>
                <w:szCs w:val="20"/>
              </w:rPr>
              <w:t>-4.107 ***</w:t>
            </w:r>
          </w:p>
        </w:tc>
        <w:tc>
          <w:tcPr>
            <w:tcW w:w="1077" w:type="dxa"/>
            <w:vAlign w:val="center"/>
          </w:tcPr>
          <w:p w:rsidR="00023DC8" w:rsidRPr="001F7A12" w:rsidRDefault="00023DC8">
            <w:pPr>
              <w:rPr>
                <w:rFonts w:ascii="Calibri" w:hAnsi="Calibri"/>
                <w:color w:val="000000"/>
                <w:sz w:val="18"/>
                <w:szCs w:val="20"/>
              </w:rPr>
            </w:pPr>
            <w:r w:rsidRPr="001F7A12">
              <w:rPr>
                <w:rFonts w:ascii="Calibri" w:hAnsi="Calibri"/>
                <w:color w:val="000000"/>
                <w:sz w:val="18"/>
                <w:szCs w:val="20"/>
              </w:rPr>
              <w:t>-0.021</w:t>
            </w:r>
          </w:p>
        </w:tc>
        <w:tc>
          <w:tcPr>
            <w:tcW w:w="1077" w:type="dxa"/>
            <w:vAlign w:val="center"/>
          </w:tcPr>
          <w:p w:rsidR="00023DC8" w:rsidRPr="001F7A12" w:rsidRDefault="00023DC8">
            <w:pPr>
              <w:rPr>
                <w:rFonts w:ascii="Calibri" w:hAnsi="Calibri"/>
                <w:b/>
                <w:bCs/>
                <w:color w:val="FF0000"/>
                <w:sz w:val="18"/>
                <w:szCs w:val="20"/>
              </w:rPr>
            </w:pPr>
            <w:r w:rsidRPr="001F7A12">
              <w:rPr>
                <w:rFonts w:ascii="Calibri" w:hAnsi="Calibri"/>
                <w:b/>
                <w:bCs/>
                <w:color w:val="FF0000"/>
                <w:sz w:val="18"/>
                <w:szCs w:val="20"/>
              </w:rPr>
              <w:t>-5.305 *</w:t>
            </w:r>
          </w:p>
        </w:tc>
        <w:tc>
          <w:tcPr>
            <w:tcW w:w="1078" w:type="dxa"/>
            <w:vAlign w:val="center"/>
          </w:tcPr>
          <w:p w:rsidR="00023DC8" w:rsidRPr="001F7A12" w:rsidRDefault="00023DC8">
            <w:pPr>
              <w:rPr>
                <w:rFonts w:ascii="Calibri" w:hAnsi="Calibri"/>
                <w:color w:val="000000"/>
                <w:sz w:val="18"/>
                <w:szCs w:val="20"/>
              </w:rPr>
            </w:pPr>
            <w:r w:rsidRPr="001F7A12">
              <w:rPr>
                <w:rFonts w:ascii="Calibri" w:hAnsi="Calibri"/>
                <w:color w:val="000000"/>
                <w:sz w:val="18"/>
                <w:szCs w:val="20"/>
              </w:rPr>
              <w:t>-4.080</w:t>
            </w:r>
          </w:p>
        </w:tc>
        <w:tc>
          <w:tcPr>
            <w:tcW w:w="236" w:type="dxa"/>
          </w:tcPr>
          <w:p w:rsidR="00023DC8" w:rsidRPr="006B31B1" w:rsidRDefault="00023DC8" w:rsidP="00C85BA7">
            <w:pPr>
              <w:rPr>
                <w:rFonts w:ascii="Calibri" w:hAnsi="Calibri"/>
                <w:b/>
                <w:color w:val="FF0000"/>
                <w:sz w:val="18"/>
              </w:rPr>
            </w:pPr>
          </w:p>
        </w:tc>
        <w:tc>
          <w:tcPr>
            <w:tcW w:w="1077" w:type="dxa"/>
            <w:vAlign w:val="center"/>
          </w:tcPr>
          <w:p w:rsidR="00023DC8" w:rsidRPr="00023DC8" w:rsidRDefault="00023DC8">
            <w:pPr>
              <w:rPr>
                <w:rFonts w:ascii="Calibri" w:hAnsi="Calibri"/>
                <w:b/>
                <w:bCs/>
                <w:color w:val="FF0000"/>
                <w:sz w:val="18"/>
                <w:szCs w:val="20"/>
              </w:rPr>
            </w:pPr>
            <w:r w:rsidRPr="00023DC8">
              <w:rPr>
                <w:rFonts w:ascii="Calibri" w:hAnsi="Calibri"/>
                <w:b/>
                <w:bCs/>
                <w:color w:val="FF0000"/>
                <w:sz w:val="18"/>
                <w:szCs w:val="20"/>
              </w:rPr>
              <w:t>-6.111 ***</w:t>
            </w:r>
          </w:p>
        </w:tc>
        <w:tc>
          <w:tcPr>
            <w:tcW w:w="1077" w:type="dxa"/>
            <w:vAlign w:val="center"/>
          </w:tcPr>
          <w:p w:rsidR="00023DC8" w:rsidRPr="00023DC8" w:rsidRDefault="00023DC8">
            <w:pPr>
              <w:rPr>
                <w:rFonts w:ascii="Calibri" w:hAnsi="Calibri"/>
                <w:b/>
                <w:bCs/>
                <w:color w:val="FF0000"/>
                <w:sz w:val="18"/>
                <w:szCs w:val="20"/>
              </w:rPr>
            </w:pPr>
            <w:r w:rsidRPr="00023DC8">
              <w:rPr>
                <w:rFonts w:ascii="Calibri" w:hAnsi="Calibri"/>
                <w:b/>
                <w:bCs/>
                <w:color w:val="FF0000"/>
                <w:sz w:val="18"/>
                <w:szCs w:val="20"/>
              </w:rPr>
              <w:t>-2.929 ***</w:t>
            </w:r>
          </w:p>
        </w:tc>
        <w:tc>
          <w:tcPr>
            <w:tcW w:w="1077" w:type="dxa"/>
            <w:vAlign w:val="center"/>
          </w:tcPr>
          <w:p w:rsidR="00023DC8" w:rsidRPr="00023DC8" w:rsidRDefault="00023DC8">
            <w:pPr>
              <w:rPr>
                <w:rFonts w:ascii="Calibri" w:hAnsi="Calibri"/>
                <w:b/>
                <w:bCs/>
                <w:color w:val="FF0000"/>
                <w:sz w:val="18"/>
                <w:szCs w:val="20"/>
              </w:rPr>
            </w:pPr>
            <w:r w:rsidRPr="00023DC8">
              <w:rPr>
                <w:rFonts w:ascii="Calibri" w:hAnsi="Calibri"/>
                <w:b/>
                <w:bCs/>
                <w:color w:val="FF0000"/>
                <w:sz w:val="18"/>
                <w:szCs w:val="20"/>
              </w:rPr>
              <w:t>-3.940 ***</w:t>
            </w:r>
          </w:p>
        </w:tc>
        <w:tc>
          <w:tcPr>
            <w:tcW w:w="1078" w:type="dxa"/>
            <w:gridSpan w:val="2"/>
            <w:vAlign w:val="center"/>
          </w:tcPr>
          <w:p w:rsidR="00023DC8" w:rsidRPr="00023DC8" w:rsidRDefault="00023DC8">
            <w:pPr>
              <w:rPr>
                <w:rFonts w:ascii="Calibri" w:hAnsi="Calibri"/>
                <w:b/>
                <w:bCs/>
                <w:color w:val="FF0000"/>
                <w:sz w:val="18"/>
                <w:szCs w:val="20"/>
              </w:rPr>
            </w:pPr>
            <w:r w:rsidRPr="00023DC8">
              <w:rPr>
                <w:rFonts w:ascii="Calibri" w:hAnsi="Calibri"/>
                <w:b/>
                <w:bCs/>
                <w:color w:val="FF0000"/>
                <w:sz w:val="18"/>
                <w:szCs w:val="20"/>
              </w:rPr>
              <w:t>-8.287 ***</w:t>
            </w:r>
          </w:p>
        </w:tc>
      </w:tr>
      <w:tr w:rsidR="00023DC8" w:rsidRPr="00ED504D" w:rsidTr="006C43BF">
        <w:trPr>
          <w:trHeight w:val="254"/>
          <w:jc w:val="center"/>
        </w:trPr>
        <w:tc>
          <w:tcPr>
            <w:tcW w:w="1134" w:type="dxa"/>
            <w:vMerge/>
            <w:vAlign w:val="center"/>
          </w:tcPr>
          <w:p w:rsidR="00023DC8" w:rsidRPr="00ED504D" w:rsidRDefault="00023DC8" w:rsidP="00C85BA7">
            <w:pPr>
              <w:rPr>
                <w:rFonts w:ascii="Calibri" w:hAnsi="Calibri"/>
                <w:color w:val="000000"/>
                <w:sz w:val="18"/>
                <w:szCs w:val="20"/>
              </w:rPr>
            </w:pPr>
          </w:p>
        </w:tc>
        <w:tc>
          <w:tcPr>
            <w:tcW w:w="236" w:type="dxa"/>
          </w:tcPr>
          <w:p w:rsidR="00023DC8" w:rsidRPr="00ED504D" w:rsidRDefault="00023DC8" w:rsidP="00C85BA7">
            <w:pPr>
              <w:jc w:val="center"/>
              <w:rPr>
                <w:sz w:val="18"/>
                <w:szCs w:val="20"/>
              </w:rPr>
            </w:pPr>
          </w:p>
        </w:tc>
        <w:tc>
          <w:tcPr>
            <w:tcW w:w="1077" w:type="dxa"/>
            <w:vAlign w:val="center"/>
          </w:tcPr>
          <w:p w:rsidR="00023DC8" w:rsidRPr="001F7A12" w:rsidRDefault="00023DC8">
            <w:pPr>
              <w:jc w:val="right"/>
              <w:rPr>
                <w:rFonts w:ascii="Calibri" w:hAnsi="Calibri"/>
                <w:color w:val="000000"/>
                <w:sz w:val="20"/>
                <w:szCs w:val="18"/>
              </w:rPr>
            </w:pPr>
            <w:r w:rsidRPr="001F7A12">
              <w:rPr>
                <w:rFonts w:ascii="Calibri" w:hAnsi="Calibri"/>
                <w:color w:val="000000"/>
                <w:sz w:val="20"/>
                <w:szCs w:val="18"/>
              </w:rPr>
              <w:t>3.09%</w:t>
            </w:r>
          </w:p>
        </w:tc>
        <w:tc>
          <w:tcPr>
            <w:tcW w:w="1077" w:type="dxa"/>
            <w:vAlign w:val="center"/>
          </w:tcPr>
          <w:p w:rsidR="00023DC8" w:rsidRPr="001F7A12" w:rsidRDefault="00023DC8">
            <w:pPr>
              <w:jc w:val="right"/>
              <w:rPr>
                <w:rFonts w:ascii="Calibri" w:hAnsi="Calibri"/>
                <w:color w:val="000000"/>
                <w:sz w:val="20"/>
                <w:szCs w:val="18"/>
              </w:rPr>
            </w:pPr>
            <w:r w:rsidRPr="001F7A12">
              <w:rPr>
                <w:rFonts w:ascii="Calibri" w:hAnsi="Calibri"/>
                <w:color w:val="000000"/>
                <w:sz w:val="20"/>
                <w:szCs w:val="18"/>
              </w:rPr>
              <w:t>3.10%</w:t>
            </w:r>
          </w:p>
        </w:tc>
        <w:tc>
          <w:tcPr>
            <w:tcW w:w="1077" w:type="dxa"/>
            <w:vAlign w:val="center"/>
          </w:tcPr>
          <w:p w:rsidR="00023DC8" w:rsidRPr="001F7A12" w:rsidRDefault="00023DC8">
            <w:pPr>
              <w:jc w:val="right"/>
              <w:rPr>
                <w:rFonts w:ascii="Calibri" w:hAnsi="Calibri"/>
                <w:color w:val="000000"/>
                <w:sz w:val="20"/>
                <w:szCs w:val="18"/>
              </w:rPr>
            </w:pPr>
            <w:r w:rsidRPr="001F7A12">
              <w:rPr>
                <w:rFonts w:ascii="Calibri" w:hAnsi="Calibri"/>
                <w:color w:val="000000"/>
                <w:sz w:val="20"/>
                <w:szCs w:val="18"/>
              </w:rPr>
              <w:t>4.49%</w:t>
            </w:r>
          </w:p>
        </w:tc>
        <w:tc>
          <w:tcPr>
            <w:tcW w:w="1078" w:type="dxa"/>
            <w:vAlign w:val="center"/>
          </w:tcPr>
          <w:p w:rsidR="00023DC8" w:rsidRPr="001F7A12" w:rsidRDefault="00023DC8">
            <w:pPr>
              <w:jc w:val="right"/>
              <w:rPr>
                <w:rFonts w:ascii="Calibri" w:hAnsi="Calibri"/>
                <w:color w:val="000000"/>
                <w:sz w:val="20"/>
                <w:szCs w:val="18"/>
              </w:rPr>
            </w:pPr>
            <w:r w:rsidRPr="001F7A12">
              <w:rPr>
                <w:rFonts w:ascii="Calibri" w:hAnsi="Calibri"/>
                <w:color w:val="000000"/>
                <w:sz w:val="20"/>
                <w:szCs w:val="18"/>
              </w:rPr>
              <w:t>1.10%</w:t>
            </w:r>
          </w:p>
        </w:tc>
        <w:tc>
          <w:tcPr>
            <w:tcW w:w="236" w:type="dxa"/>
          </w:tcPr>
          <w:p w:rsidR="00023DC8" w:rsidRPr="006B31B1" w:rsidRDefault="00023DC8" w:rsidP="00C85BA7">
            <w:pPr>
              <w:rPr>
                <w:rFonts w:ascii="Calibri" w:hAnsi="Calibri"/>
                <w:color w:val="000000"/>
                <w:sz w:val="18"/>
              </w:rPr>
            </w:pPr>
          </w:p>
        </w:tc>
        <w:tc>
          <w:tcPr>
            <w:tcW w:w="1077" w:type="dxa"/>
            <w:vAlign w:val="center"/>
          </w:tcPr>
          <w:p w:rsidR="00023DC8" w:rsidRPr="001F7A12" w:rsidRDefault="00023DC8">
            <w:pPr>
              <w:jc w:val="right"/>
              <w:rPr>
                <w:rFonts w:ascii="Calibri" w:hAnsi="Calibri"/>
                <w:color w:val="000000"/>
                <w:sz w:val="18"/>
                <w:szCs w:val="18"/>
              </w:rPr>
            </w:pPr>
            <w:r w:rsidRPr="001F7A12">
              <w:rPr>
                <w:rFonts w:ascii="Calibri" w:hAnsi="Calibri"/>
                <w:color w:val="000000"/>
                <w:sz w:val="18"/>
                <w:szCs w:val="18"/>
              </w:rPr>
              <w:t>0.87%</w:t>
            </w:r>
          </w:p>
        </w:tc>
        <w:tc>
          <w:tcPr>
            <w:tcW w:w="1077" w:type="dxa"/>
            <w:vAlign w:val="center"/>
          </w:tcPr>
          <w:p w:rsidR="00023DC8" w:rsidRPr="001F7A12" w:rsidRDefault="00023DC8">
            <w:pPr>
              <w:jc w:val="right"/>
              <w:rPr>
                <w:rFonts w:ascii="Calibri" w:hAnsi="Calibri"/>
                <w:color w:val="000000"/>
                <w:sz w:val="18"/>
                <w:szCs w:val="18"/>
              </w:rPr>
            </w:pPr>
            <w:r w:rsidRPr="001F7A12">
              <w:rPr>
                <w:rFonts w:ascii="Calibri" w:hAnsi="Calibri"/>
                <w:color w:val="000000"/>
                <w:sz w:val="18"/>
                <w:szCs w:val="18"/>
              </w:rPr>
              <w:t>-0.01%</w:t>
            </w:r>
          </w:p>
        </w:tc>
        <w:tc>
          <w:tcPr>
            <w:tcW w:w="1077" w:type="dxa"/>
            <w:vAlign w:val="center"/>
          </w:tcPr>
          <w:p w:rsidR="00023DC8" w:rsidRPr="001F7A12" w:rsidRDefault="00023DC8">
            <w:pPr>
              <w:jc w:val="right"/>
              <w:rPr>
                <w:rFonts w:ascii="Calibri" w:hAnsi="Calibri"/>
                <w:color w:val="000000"/>
                <w:sz w:val="18"/>
                <w:szCs w:val="18"/>
              </w:rPr>
            </w:pPr>
            <w:r w:rsidRPr="001F7A12">
              <w:rPr>
                <w:rFonts w:ascii="Calibri" w:hAnsi="Calibri"/>
                <w:color w:val="000000"/>
                <w:sz w:val="18"/>
                <w:szCs w:val="18"/>
              </w:rPr>
              <w:t>0.39%</w:t>
            </w:r>
          </w:p>
        </w:tc>
        <w:tc>
          <w:tcPr>
            <w:tcW w:w="1078" w:type="dxa"/>
            <w:vAlign w:val="center"/>
          </w:tcPr>
          <w:p w:rsidR="00023DC8" w:rsidRPr="001F7A12" w:rsidRDefault="00023DC8">
            <w:pPr>
              <w:jc w:val="right"/>
              <w:rPr>
                <w:rFonts w:ascii="Calibri" w:hAnsi="Calibri"/>
                <w:color w:val="000000"/>
                <w:sz w:val="18"/>
                <w:szCs w:val="18"/>
              </w:rPr>
            </w:pPr>
            <w:r w:rsidRPr="001F7A12">
              <w:rPr>
                <w:rFonts w:ascii="Calibri" w:hAnsi="Calibri"/>
                <w:color w:val="000000"/>
                <w:sz w:val="18"/>
                <w:szCs w:val="18"/>
              </w:rPr>
              <w:t>0.28%</w:t>
            </w:r>
          </w:p>
        </w:tc>
        <w:tc>
          <w:tcPr>
            <w:tcW w:w="236" w:type="dxa"/>
          </w:tcPr>
          <w:p w:rsidR="00023DC8" w:rsidRPr="006B31B1" w:rsidRDefault="00023DC8" w:rsidP="00C85BA7">
            <w:pPr>
              <w:rPr>
                <w:rFonts w:ascii="Calibri" w:hAnsi="Calibri"/>
                <w:color w:val="000000"/>
                <w:sz w:val="18"/>
              </w:rPr>
            </w:pPr>
          </w:p>
        </w:tc>
        <w:tc>
          <w:tcPr>
            <w:tcW w:w="1077" w:type="dxa"/>
            <w:vAlign w:val="center"/>
          </w:tcPr>
          <w:p w:rsidR="00023DC8" w:rsidRPr="00023DC8" w:rsidRDefault="00023DC8">
            <w:pPr>
              <w:jc w:val="right"/>
              <w:rPr>
                <w:rFonts w:ascii="Calibri" w:hAnsi="Calibri"/>
                <w:color w:val="000000"/>
                <w:sz w:val="18"/>
                <w:szCs w:val="18"/>
              </w:rPr>
            </w:pPr>
            <w:r w:rsidRPr="00023DC8">
              <w:rPr>
                <w:rFonts w:ascii="Calibri" w:hAnsi="Calibri"/>
                <w:color w:val="000000"/>
                <w:sz w:val="18"/>
                <w:szCs w:val="18"/>
              </w:rPr>
              <w:t>5.81%</w:t>
            </w:r>
          </w:p>
        </w:tc>
        <w:tc>
          <w:tcPr>
            <w:tcW w:w="1077" w:type="dxa"/>
            <w:vAlign w:val="center"/>
          </w:tcPr>
          <w:p w:rsidR="00023DC8" w:rsidRPr="00023DC8" w:rsidRDefault="00023DC8">
            <w:pPr>
              <w:jc w:val="right"/>
              <w:rPr>
                <w:rFonts w:ascii="Calibri" w:hAnsi="Calibri"/>
                <w:color w:val="000000"/>
                <w:sz w:val="18"/>
                <w:szCs w:val="18"/>
              </w:rPr>
            </w:pPr>
            <w:r w:rsidRPr="00023DC8">
              <w:rPr>
                <w:rFonts w:ascii="Calibri" w:hAnsi="Calibri"/>
                <w:color w:val="000000"/>
                <w:sz w:val="18"/>
                <w:szCs w:val="18"/>
              </w:rPr>
              <w:t>3.91%</w:t>
            </w:r>
          </w:p>
        </w:tc>
        <w:tc>
          <w:tcPr>
            <w:tcW w:w="1077" w:type="dxa"/>
            <w:vAlign w:val="center"/>
          </w:tcPr>
          <w:p w:rsidR="00023DC8" w:rsidRPr="00023DC8" w:rsidRDefault="00023DC8">
            <w:pPr>
              <w:jc w:val="right"/>
              <w:rPr>
                <w:rFonts w:ascii="Calibri" w:hAnsi="Calibri"/>
                <w:color w:val="000000"/>
                <w:sz w:val="18"/>
                <w:szCs w:val="18"/>
              </w:rPr>
            </w:pPr>
            <w:r w:rsidRPr="00023DC8">
              <w:rPr>
                <w:rFonts w:ascii="Calibri" w:hAnsi="Calibri"/>
                <w:color w:val="000000"/>
                <w:sz w:val="18"/>
                <w:szCs w:val="18"/>
              </w:rPr>
              <w:t>5.05%</w:t>
            </w:r>
          </w:p>
        </w:tc>
        <w:tc>
          <w:tcPr>
            <w:tcW w:w="1078" w:type="dxa"/>
            <w:gridSpan w:val="2"/>
            <w:vAlign w:val="center"/>
          </w:tcPr>
          <w:p w:rsidR="00023DC8" w:rsidRPr="00023DC8" w:rsidRDefault="00023DC8">
            <w:pPr>
              <w:jc w:val="right"/>
              <w:rPr>
                <w:rFonts w:ascii="Calibri" w:hAnsi="Calibri"/>
                <w:color w:val="000000"/>
                <w:sz w:val="18"/>
                <w:szCs w:val="18"/>
              </w:rPr>
            </w:pPr>
            <w:r w:rsidRPr="00023DC8">
              <w:rPr>
                <w:rFonts w:ascii="Calibri" w:hAnsi="Calibri"/>
                <w:color w:val="000000"/>
                <w:sz w:val="18"/>
                <w:szCs w:val="18"/>
              </w:rPr>
              <w:t>2.52%</w:t>
            </w:r>
          </w:p>
        </w:tc>
      </w:tr>
      <w:tr w:rsidR="00023DC8" w:rsidRPr="00ED504D" w:rsidTr="006C43BF">
        <w:trPr>
          <w:trHeight w:val="254"/>
          <w:jc w:val="center"/>
        </w:trPr>
        <w:tc>
          <w:tcPr>
            <w:tcW w:w="1134" w:type="dxa"/>
            <w:vMerge w:val="restart"/>
            <w:vAlign w:val="center"/>
          </w:tcPr>
          <w:p w:rsidR="00023DC8" w:rsidRPr="00ED504D" w:rsidRDefault="00023DC8" w:rsidP="00C85BA7">
            <w:pPr>
              <w:rPr>
                <w:rFonts w:ascii="Calibri" w:hAnsi="Calibri"/>
                <w:color w:val="000000"/>
                <w:sz w:val="18"/>
                <w:szCs w:val="20"/>
              </w:rPr>
            </w:pPr>
            <w:r w:rsidRPr="00ED504D">
              <w:rPr>
                <w:rFonts w:ascii="Calibri" w:hAnsi="Calibri"/>
                <w:color w:val="000000"/>
                <w:sz w:val="18"/>
                <w:szCs w:val="20"/>
              </w:rPr>
              <w:t>Belgium</w:t>
            </w:r>
          </w:p>
        </w:tc>
        <w:tc>
          <w:tcPr>
            <w:tcW w:w="236" w:type="dxa"/>
          </w:tcPr>
          <w:p w:rsidR="00023DC8" w:rsidRPr="00ED504D" w:rsidRDefault="00023DC8" w:rsidP="00C85BA7">
            <w:pPr>
              <w:jc w:val="center"/>
              <w:rPr>
                <w:sz w:val="18"/>
                <w:szCs w:val="20"/>
              </w:rPr>
            </w:pPr>
          </w:p>
        </w:tc>
        <w:tc>
          <w:tcPr>
            <w:tcW w:w="1077" w:type="dxa"/>
            <w:vAlign w:val="center"/>
          </w:tcPr>
          <w:p w:rsidR="00023DC8" w:rsidRPr="001F7A12" w:rsidRDefault="00023DC8">
            <w:pPr>
              <w:rPr>
                <w:rFonts w:ascii="Calibri" w:hAnsi="Calibri"/>
                <w:b/>
                <w:bCs/>
                <w:color w:val="548DD4"/>
                <w:sz w:val="20"/>
              </w:rPr>
            </w:pPr>
            <w:r w:rsidRPr="001F7A12">
              <w:rPr>
                <w:rFonts w:ascii="Calibri" w:hAnsi="Calibri"/>
                <w:b/>
                <w:bCs/>
                <w:color w:val="548DD4"/>
                <w:sz w:val="20"/>
              </w:rPr>
              <w:t>4.624 ***</w:t>
            </w:r>
          </w:p>
        </w:tc>
        <w:tc>
          <w:tcPr>
            <w:tcW w:w="1077" w:type="dxa"/>
            <w:vAlign w:val="center"/>
          </w:tcPr>
          <w:p w:rsidR="00023DC8" w:rsidRPr="001F7A12" w:rsidRDefault="00023DC8">
            <w:pPr>
              <w:rPr>
                <w:rFonts w:ascii="Calibri" w:hAnsi="Calibri"/>
                <w:b/>
                <w:bCs/>
                <w:color w:val="548DD4"/>
                <w:sz w:val="20"/>
              </w:rPr>
            </w:pPr>
            <w:r w:rsidRPr="001F7A12">
              <w:rPr>
                <w:rFonts w:ascii="Calibri" w:hAnsi="Calibri"/>
                <w:b/>
                <w:bCs/>
                <w:color w:val="548DD4"/>
                <w:sz w:val="20"/>
              </w:rPr>
              <w:t>2.035 ***</w:t>
            </w:r>
          </w:p>
        </w:tc>
        <w:tc>
          <w:tcPr>
            <w:tcW w:w="1077" w:type="dxa"/>
            <w:vAlign w:val="center"/>
          </w:tcPr>
          <w:p w:rsidR="00023DC8" w:rsidRPr="001F7A12" w:rsidRDefault="00023DC8">
            <w:pPr>
              <w:rPr>
                <w:rFonts w:ascii="Calibri" w:hAnsi="Calibri"/>
                <w:b/>
                <w:bCs/>
                <w:color w:val="548DD4"/>
                <w:sz w:val="20"/>
              </w:rPr>
            </w:pPr>
            <w:r w:rsidRPr="001F7A12">
              <w:rPr>
                <w:rFonts w:ascii="Calibri" w:hAnsi="Calibri"/>
                <w:b/>
                <w:bCs/>
                <w:color w:val="548DD4"/>
                <w:sz w:val="20"/>
              </w:rPr>
              <w:t>1.321 *</w:t>
            </w:r>
          </w:p>
        </w:tc>
        <w:tc>
          <w:tcPr>
            <w:tcW w:w="1078" w:type="dxa"/>
            <w:vAlign w:val="center"/>
          </w:tcPr>
          <w:p w:rsidR="00023DC8" w:rsidRPr="001F7A12" w:rsidRDefault="00023DC8">
            <w:pPr>
              <w:rPr>
                <w:rFonts w:ascii="Calibri" w:hAnsi="Calibri"/>
                <w:color w:val="000000"/>
                <w:sz w:val="20"/>
              </w:rPr>
            </w:pPr>
            <w:r w:rsidRPr="001F7A12">
              <w:rPr>
                <w:rFonts w:ascii="Calibri" w:hAnsi="Calibri"/>
                <w:color w:val="000000"/>
                <w:sz w:val="20"/>
              </w:rPr>
              <w:t>2.191</w:t>
            </w:r>
          </w:p>
        </w:tc>
        <w:tc>
          <w:tcPr>
            <w:tcW w:w="236" w:type="dxa"/>
          </w:tcPr>
          <w:p w:rsidR="00023DC8" w:rsidRPr="00ED504D" w:rsidRDefault="00023DC8" w:rsidP="00C85BA7">
            <w:pPr>
              <w:rPr>
                <w:rFonts w:ascii="Calibri" w:hAnsi="Calibri"/>
                <w:color w:val="000000"/>
                <w:sz w:val="18"/>
              </w:rPr>
            </w:pPr>
          </w:p>
        </w:tc>
        <w:tc>
          <w:tcPr>
            <w:tcW w:w="1077" w:type="dxa"/>
            <w:vAlign w:val="center"/>
          </w:tcPr>
          <w:p w:rsidR="00023DC8" w:rsidRPr="001F7A12" w:rsidRDefault="00023DC8">
            <w:pPr>
              <w:rPr>
                <w:rFonts w:ascii="Calibri" w:hAnsi="Calibri"/>
                <w:b/>
                <w:bCs/>
                <w:color w:val="FF0000"/>
                <w:sz w:val="18"/>
                <w:szCs w:val="20"/>
              </w:rPr>
            </w:pPr>
            <w:r w:rsidRPr="001F7A12">
              <w:rPr>
                <w:rFonts w:ascii="Calibri" w:hAnsi="Calibri"/>
                <w:b/>
                <w:bCs/>
                <w:color w:val="FF0000"/>
                <w:sz w:val="18"/>
                <w:szCs w:val="20"/>
              </w:rPr>
              <w:t>-4.234 ***</w:t>
            </w:r>
          </w:p>
        </w:tc>
        <w:tc>
          <w:tcPr>
            <w:tcW w:w="1077" w:type="dxa"/>
            <w:vAlign w:val="center"/>
          </w:tcPr>
          <w:p w:rsidR="00023DC8" w:rsidRPr="001F7A12" w:rsidRDefault="00023DC8">
            <w:pPr>
              <w:rPr>
                <w:rFonts w:ascii="Calibri" w:hAnsi="Calibri"/>
                <w:color w:val="000000"/>
                <w:sz w:val="18"/>
                <w:szCs w:val="20"/>
              </w:rPr>
            </w:pPr>
            <w:r w:rsidRPr="001F7A12">
              <w:rPr>
                <w:rFonts w:ascii="Calibri" w:hAnsi="Calibri"/>
                <w:color w:val="000000"/>
                <w:sz w:val="18"/>
                <w:szCs w:val="20"/>
              </w:rPr>
              <w:t>-0.094</w:t>
            </w:r>
          </w:p>
        </w:tc>
        <w:tc>
          <w:tcPr>
            <w:tcW w:w="1077" w:type="dxa"/>
            <w:vAlign w:val="center"/>
          </w:tcPr>
          <w:p w:rsidR="00023DC8" w:rsidRPr="001F7A12" w:rsidRDefault="00023DC8">
            <w:pPr>
              <w:rPr>
                <w:rFonts w:ascii="Calibri" w:hAnsi="Calibri"/>
                <w:color w:val="000000"/>
                <w:sz w:val="18"/>
                <w:szCs w:val="20"/>
              </w:rPr>
            </w:pPr>
            <w:r w:rsidRPr="001F7A12">
              <w:rPr>
                <w:rFonts w:ascii="Calibri" w:hAnsi="Calibri"/>
                <w:color w:val="000000"/>
                <w:sz w:val="18"/>
                <w:szCs w:val="20"/>
              </w:rPr>
              <w:t>-4.759</w:t>
            </w:r>
          </w:p>
        </w:tc>
        <w:tc>
          <w:tcPr>
            <w:tcW w:w="1078" w:type="dxa"/>
            <w:vAlign w:val="center"/>
          </w:tcPr>
          <w:p w:rsidR="00023DC8" w:rsidRPr="001F7A12" w:rsidRDefault="00023DC8">
            <w:pPr>
              <w:rPr>
                <w:rFonts w:ascii="Calibri" w:hAnsi="Calibri"/>
                <w:b/>
                <w:bCs/>
                <w:color w:val="FF0000"/>
                <w:sz w:val="18"/>
                <w:szCs w:val="20"/>
              </w:rPr>
            </w:pPr>
            <w:r w:rsidRPr="001F7A12">
              <w:rPr>
                <w:rFonts w:ascii="Calibri" w:hAnsi="Calibri"/>
                <w:b/>
                <w:bCs/>
                <w:color w:val="FF0000"/>
                <w:sz w:val="18"/>
                <w:szCs w:val="20"/>
              </w:rPr>
              <w:t>-7.885 **</w:t>
            </w:r>
          </w:p>
        </w:tc>
        <w:tc>
          <w:tcPr>
            <w:tcW w:w="236" w:type="dxa"/>
          </w:tcPr>
          <w:p w:rsidR="00023DC8" w:rsidRPr="006B31B1" w:rsidRDefault="00023DC8" w:rsidP="00C85BA7">
            <w:pPr>
              <w:rPr>
                <w:rFonts w:ascii="Calibri" w:hAnsi="Calibri"/>
                <w:b/>
                <w:color w:val="FF0000"/>
                <w:sz w:val="18"/>
              </w:rPr>
            </w:pPr>
          </w:p>
        </w:tc>
        <w:tc>
          <w:tcPr>
            <w:tcW w:w="1077" w:type="dxa"/>
            <w:vAlign w:val="center"/>
          </w:tcPr>
          <w:p w:rsidR="00023DC8" w:rsidRPr="00023DC8" w:rsidRDefault="00023DC8">
            <w:pPr>
              <w:rPr>
                <w:rFonts w:ascii="Calibri" w:hAnsi="Calibri"/>
                <w:b/>
                <w:bCs/>
                <w:color w:val="FF0000"/>
                <w:sz w:val="18"/>
                <w:szCs w:val="20"/>
              </w:rPr>
            </w:pPr>
            <w:r w:rsidRPr="00023DC8">
              <w:rPr>
                <w:rFonts w:ascii="Calibri" w:hAnsi="Calibri"/>
                <w:b/>
                <w:bCs/>
                <w:color w:val="FF0000"/>
                <w:sz w:val="18"/>
                <w:szCs w:val="20"/>
              </w:rPr>
              <w:t>-6.523 ***</w:t>
            </w:r>
          </w:p>
        </w:tc>
        <w:tc>
          <w:tcPr>
            <w:tcW w:w="1077" w:type="dxa"/>
            <w:vAlign w:val="center"/>
          </w:tcPr>
          <w:p w:rsidR="00023DC8" w:rsidRPr="00023DC8" w:rsidRDefault="00023DC8">
            <w:pPr>
              <w:rPr>
                <w:rFonts w:ascii="Calibri" w:hAnsi="Calibri"/>
                <w:b/>
                <w:bCs/>
                <w:color w:val="FF0000"/>
                <w:sz w:val="18"/>
                <w:szCs w:val="20"/>
              </w:rPr>
            </w:pPr>
            <w:r w:rsidRPr="00023DC8">
              <w:rPr>
                <w:rFonts w:ascii="Calibri" w:hAnsi="Calibri"/>
                <w:b/>
                <w:bCs/>
                <w:color w:val="FF0000"/>
                <w:sz w:val="18"/>
                <w:szCs w:val="20"/>
              </w:rPr>
              <w:t>-2.614 ***</w:t>
            </w:r>
          </w:p>
        </w:tc>
        <w:tc>
          <w:tcPr>
            <w:tcW w:w="1077" w:type="dxa"/>
            <w:vAlign w:val="center"/>
          </w:tcPr>
          <w:p w:rsidR="00023DC8" w:rsidRPr="00023DC8" w:rsidRDefault="00023DC8">
            <w:pPr>
              <w:rPr>
                <w:rFonts w:ascii="Calibri" w:hAnsi="Calibri"/>
                <w:b/>
                <w:bCs/>
                <w:color w:val="FF0000"/>
                <w:sz w:val="18"/>
                <w:szCs w:val="20"/>
              </w:rPr>
            </w:pPr>
            <w:r w:rsidRPr="00023DC8">
              <w:rPr>
                <w:rFonts w:ascii="Calibri" w:hAnsi="Calibri"/>
                <w:b/>
                <w:bCs/>
                <w:color w:val="FF0000"/>
                <w:sz w:val="18"/>
                <w:szCs w:val="20"/>
              </w:rPr>
              <w:t>-1.564 **</w:t>
            </w:r>
          </w:p>
        </w:tc>
        <w:tc>
          <w:tcPr>
            <w:tcW w:w="1078" w:type="dxa"/>
            <w:gridSpan w:val="2"/>
            <w:vAlign w:val="center"/>
          </w:tcPr>
          <w:p w:rsidR="00023DC8" w:rsidRPr="00023DC8" w:rsidRDefault="00023DC8">
            <w:pPr>
              <w:rPr>
                <w:rFonts w:ascii="Calibri" w:hAnsi="Calibri"/>
                <w:b/>
                <w:bCs/>
                <w:color w:val="FF0000"/>
                <w:sz w:val="18"/>
                <w:szCs w:val="20"/>
              </w:rPr>
            </w:pPr>
            <w:r w:rsidRPr="00023DC8">
              <w:rPr>
                <w:rFonts w:ascii="Calibri" w:hAnsi="Calibri"/>
                <w:b/>
                <w:bCs/>
                <w:color w:val="FF0000"/>
                <w:sz w:val="18"/>
                <w:szCs w:val="20"/>
              </w:rPr>
              <w:t>-6.582 ***</w:t>
            </w:r>
          </w:p>
        </w:tc>
      </w:tr>
      <w:tr w:rsidR="00023DC8" w:rsidRPr="00ED504D" w:rsidTr="006C43BF">
        <w:trPr>
          <w:trHeight w:val="254"/>
          <w:jc w:val="center"/>
        </w:trPr>
        <w:tc>
          <w:tcPr>
            <w:tcW w:w="1134" w:type="dxa"/>
            <w:vMerge/>
            <w:vAlign w:val="center"/>
          </w:tcPr>
          <w:p w:rsidR="00023DC8" w:rsidRPr="00ED504D" w:rsidRDefault="00023DC8" w:rsidP="00C85BA7">
            <w:pPr>
              <w:rPr>
                <w:rFonts w:ascii="Calibri" w:hAnsi="Calibri"/>
                <w:color w:val="000000"/>
                <w:sz w:val="18"/>
                <w:szCs w:val="20"/>
              </w:rPr>
            </w:pPr>
          </w:p>
        </w:tc>
        <w:tc>
          <w:tcPr>
            <w:tcW w:w="236" w:type="dxa"/>
          </w:tcPr>
          <w:p w:rsidR="00023DC8" w:rsidRPr="00ED504D" w:rsidRDefault="00023DC8" w:rsidP="00C85BA7">
            <w:pPr>
              <w:jc w:val="center"/>
              <w:rPr>
                <w:sz w:val="18"/>
                <w:szCs w:val="20"/>
              </w:rPr>
            </w:pPr>
          </w:p>
        </w:tc>
        <w:tc>
          <w:tcPr>
            <w:tcW w:w="1077" w:type="dxa"/>
            <w:vAlign w:val="center"/>
          </w:tcPr>
          <w:p w:rsidR="00023DC8" w:rsidRPr="001F7A12" w:rsidRDefault="00023DC8">
            <w:pPr>
              <w:jc w:val="right"/>
              <w:rPr>
                <w:rFonts w:ascii="Calibri" w:hAnsi="Calibri"/>
                <w:color w:val="000000"/>
                <w:sz w:val="20"/>
                <w:szCs w:val="18"/>
              </w:rPr>
            </w:pPr>
            <w:r w:rsidRPr="001F7A12">
              <w:rPr>
                <w:rFonts w:ascii="Calibri" w:hAnsi="Calibri"/>
                <w:color w:val="000000"/>
                <w:sz w:val="20"/>
                <w:szCs w:val="18"/>
              </w:rPr>
              <w:t>3.04%</w:t>
            </w:r>
          </w:p>
        </w:tc>
        <w:tc>
          <w:tcPr>
            <w:tcW w:w="1077" w:type="dxa"/>
            <w:vAlign w:val="center"/>
          </w:tcPr>
          <w:p w:rsidR="00023DC8" w:rsidRPr="001F7A12" w:rsidRDefault="00023DC8">
            <w:pPr>
              <w:jc w:val="right"/>
              <w:rPr>
                <w:rFonts w:ascii="Calibri" w:hAnsi="Calibri"/>
                <w:color w:val="000000"/>
                <w:sz w:val="20"/>
                <w:szCs w:val="18"/>
              </w:rPr>
            </w:pPr>
            <w:r w:rsidRPr="001F7A12">
              <w:rPr>
                <w:rFonts w:ascii="Calibri" w:hAnsi="Calibri"/>
                <w:color w:val="000000"/>
                <w:sz w:val="20"/>
                <w:szCs w:val="18"/>
              </w:rPr>
              <w:t>3.08%</w:t>
            </w:r>
          </w:p>
        </w:tc>
        <w:tc>
          <w:tcPr>
            <w:tcW w:w="1077" w:type="dxa"/>
            <w:vAlign w:val="center"/>
          </w:tcPr>
          <w:p w:rsidR="00023DC8" w:rsidRPr="001F7A12" w:rsidRDefault="00023DC8">
            <w:pPr>
              <w:jc w:val="right"/>
              <w:rPr>
                <w:rFonts w:ascii="Calibri" w:hAnsi="Calibri"/>
                <w:color w:val="000000"/>
                <w:sz w:val="20"/>
                <w:szCs w:val="18"/>
              </w:rPr>
            </w:pPr>
            <w:r w:rsidRPr="001F7A12">
              <w:rPr>
                <w:rFonts w:ascii="Calibri" w:hAnsi="Calibri"/>
                <w:color w:val="000000"/>
                <w:sz w:val="20"/>
                <w:szCs w:val="18"/>
              </w:rPr>
              <w:t>0.46%</w:t>
            </w:r>
          </w:p>
        </w:tc>
        <w:tc>
          <w:tcPr>
            <w:tcW w:w="1078" w:type="dxa"/>
            <w:vAlign w:val="center"/>
          </w:tcPr>
          <w:p w:rsidR="00023DC8" w:rsidRPr="001F7A12" w:rsidRDefault="00023DC8">
            <w:pPr>
              <w:jc w:val="right"/>
              <w:rPr>
                <w:rFonts w:ascii="Calibri" w:hAnsi="Calibri"/>
                <w:color w:val="000000"/>
                <w:sz w:val="20"/>
                <w:szCs w:val="18"/>
              </w:rPr>
            </w:pPr>
            <w:r w:rsidRPr="001F7A12">
              <w:rPr>
                <w:rFonts w:ascii="Calibri" w:hAnsi="Calibri"/>
                <w:color w:val="000000"/>
                <w:sz w:val="20"/>
                <w:szCs w:val="18"/>
              </w:rPr>
              <w:t>0.20%</w:t>
            </w:r>
          </w:p>
        </w:tc>
        <w:tc>
          <w:tcPr>
            <w:tcW w:w="236" w:type="dxa"/>
          </w:tcPr>
          <w:p w:rsidR="00023DC8" w:rsidRPr="006B31B1" w:rsidRDefault="00023DC8" w:rsidP="00C85BA7">
            <w:pPr>
              <w:rPr>
                <w:rFonts w:ascii="Calibri" w:hAnsi="Calibri"/>
                <w:color w:val="000000"/>
                <w:sz w:val="18"/>
              </w:rPr>
            </w:pPr>
          </w:p>
        </w:tc>
        <w:tc>
          <w:tcPr>
            <w:tcW w:w="1077" w:type="dxa"/>
            <w:vAlign w:val="center"/>
          </w:tcPr>
          <w:p w:rsidR="00023DC8" w:rsidRPr="001F7A12" w:rsidRDefault="00023DC8">
            <w:pPr>
              <w:jc w:val="right"/>
              <w:rPr>
                <w:rFonts w:ascii="Calibri" w:hAnsi="Calibri"/>
                <w:color w:val="000000"/>
                <w:sz w:val="18"/>
                <w:szCs w:val="18"/>
              </w:rPr>
            </w:pPr>
            <w:r w:rsidRPr="001F7A12">
              <w:rPr>
                <w:rFonts w:ascii="Calibri" w:hAnsi="Calibri"/>
                <w:color w:val="000000"/>
                <w:sz w:val="18"/>
                <w:szCs w:val="18"/>
              </w:rPr>
              <w:t>0.76%</w:t>
            </w:r>
          </w:p>
        </w:tc>
        <w:tc>
          <w:tcPr>
            <w:tcW w:w="1077" w:type="dxa"/>
            <w:vAlign w:val="center"/>
          </w:tcPr>
          <w:p w:rsidR="00023DC8" w:rsidRPr="001F7A12" w:rsidRDefault="00023DC8">
            <w:pPr>
              <w:jc w:val="right"/>
              <w:rPr>
                <w:rFonts w:ascii="Calibri" w:hAnsi="Calibri"/>
                <w:color w:val="000000"/>
                <w:sz w:val="18"/>
                <w:szCs w:val="18"/>
              </w:rPr>
            </w:pPr>
            <w:r w:rsidRPr="001F7A12">
              <w:rPr>
                <w:rFonts w:ascii="Calibri" w:hAnsi="Calibri"/>
                <w:color w:val="000000"/>
                <w:sz w:val="18"/>
                <w:szCs w:val="18"/>
              </w:rPr>
              <w:t>-0.01%</w:t>
            </w:r>
          </w:p>
        </w:tc>
        <w:tc>
          <w:tcPr>
            <w:tcW w:w="1077" w:type="dxa"/>
            <w:vAlign w:val="center"/>
          </w:tcPr>
          <w:p w:rsidR="00023DC8" w:rsidRPr="001F7A12" w:rsidRDefault="00023DC8">
            <w:pPr>
              <w:jc w:val="right"/>
              <w:rPr>
                <w:rFonts w:ascii="Calibri" w:hAnsi="Calibri"/>
                <w:color w:val="000000"/>
                <w:sz w:val="18"/>
                <w:szCs w:val="18"/>
              </w:rPr>
            </w:pPr>
            <w:r w:rsidRPr="001F7A12">
              <w:rPr>
                <w:rFonts w:ascii="Calibri" w:hAnsi="Calibri"/>
                <w:color w:val="000000"/>
                <w:sz w:val="18"/>
                <w:szCs w:val="18"/>
              </w:rPr>
              <w:t>0.25%</w:t>
            </w:r>
          </w:p>
        </w:tc>
        <w:tc>
          <w:tcPr>
            <w:tcW w:w="1078" w:type="dxa"/>
            <w:vAlign w:val="center"/>
          </w:tcPr>
          <w:p w:rsidR="00023DC8" w:rsidRPr="001F7A12" w:rsidRDefault="00023DC8">
            <w:pPr>
              <w:jc w:val="right"/>
              <w:rPr>
                <w:rFonts w:ascii="Calibri" w:hAnsi="Calibri"/>
                <w:color w:val="000000"/>
                <w:sz w:val="18"/>
                <w:szCs w:val="18"/>
              </w:rPr>
            </w:pPr>
            <w:r w:rsidRPr="001F7A12">
              <w:rPr>
                <w:rFonts w:ascii="Calibri" w:hAnsi="Calibri"/>
                <w:color w:val="000000"/>
                <w:sz w:val="18"/>
                <w:szCs w:val="18"/>
              </w:rPr>
              <w:t>1.08%</w:t>
            </w:r>
          </w:p>
        </w:tc>
        <w:tc>
          <w:tcPr>
            <w:tcW w:w="236" w:type="dxa"/>
          </w:tcPr>
          <w:p w:rsidR="00023DC8" w:rsidRPr="006B31B1" w:rsidRDefault="00023DC8" w:rsidP="00C85BA7">
            <w:pPr>
              <w:rPr>
                <w:rFonts w:ascii="Calibri" w:hAnsi="Calibri"/>
                <w:color w:val="000000"/>
                <w:sz w:val="18"/>
              </w:rPr>
            </w:pPr>
          </w:p>
        </w:tc>
        <w:tc>
          <w:tcPr>
            <w:tcW w:w="1077" w:type="dxa"/>
            <w:vAlign w:val="center"/>
          </w:tcPr>
          <w:p w:rsidR="00023DC8" w:rsidRPr="00023DC8" w:rsidRDefault="00023DC8">
            <w:pPr>
              <w:jc w:val="right"/>
              <w:rPr>
                <w:rFonts w:ascii="Calibri" w:hAnsi="Calibri"/>
                <w:color w:val="000000"/>
                <w:sz w:val="18"/>
                <w:szCs w:val="18"/>
              </w:rPr>
            </w:pPr>
            <w:r w:rsidRPr="00023DC8">
              <w:rPr>
                <w:rFonts w:ascii="Calibri" w:hAnsi="Calibri"/>
                <w:color w:val="000000"/>
                <w:sz w:val="18"/>
                <w:szCs w:val="18"/>
              </w:rPr>
              <w:t>5.47%</w:t>
            </w:r>
          </w:p>
        </w:tc>
        <w:tc>
          <w:tcPr>
            <w:tcW w:w="1077" w:type="dxa"/>
            <w:vAlign w:val="center"/>
          </w:tcPr>
          <w:p w:rsidR="00023DC8" w:rsidRPr="00023DC8" w:rsidRDefault="00023DC8">
            <w:pPr>
              <w:jc w:val="right"/>
              <w:rPr>
                <w:rFonts w:ascii="Calibri" w:hAnsi="Calibri"/>
                <w:color w:val="000000"/>
                <w:sz w:val="18"/>
                <w:szCs w:val="18"/>
              </w:rPr>
            </w:pPr>
            <w:r w:rsidRPr="00023DC8">
              <w:rPr>
                <w:rFonts w:ascii="Calibri" w:hAnsi="Calibri"/>
                <w:color w:val="000000"/>
                <w:sz w:val="18"/>
                <w:szCs w:val="18"/>
              </w:rPr>
              <w:t>3.95%</w:t>
            </w:r>
          </w:p>
        </w:tc>
        <w:tc>
          <w:tcPr>
            <w:tcW w:w="1077" w:type="dxa"/>
            <w:vAlign w:val="center"/>
          </w:tcPr>
          <w:p w:rsidR="00023DC8" w:rsidRPr="00023DC8" w:rsidRDefault="00023DC8">
            <w:pPr>
              <w:jc w:val="right"/>
              <w:rPr>
                <w:rFonts w:ascii="Calibri" w:hAnsi="Calibri"/>
                <w:color w:val="000000"/>
                <w:sz w:val="18"/>
                <w:szCs w:val="18"/>
              </w:rPr>
            </w:pPr>
            <w:r w:rsidRPr="00023DC8">
              <w:rPr>
                <w:rFonts w:ascii="Calibri" w:hAnsi="Calibri"/>
                <w:color w:val="000000"/>
                <w:sz w:val="18"/>
                <w:szCs w:val="18"/>
              </w:rPr>
              <w:t>0.64%</w:t>
            </w:r>
          </w:p>
        </w:tc>
        <w:tc>
          <w:tcPr>
            <w:tcW w:w="1078" w:type="dxa"/>
            <w:gridSpan w:val="2"/>
            <w:vAlign w:val="center"/>
          </w:tcPr>
          <w:p w:rsidR="00023DC8" w:rsidRPr="00023DC8" w:rsidRDefault="00023DC8">
            <w:pPr>
              <w:jc w:val="right"/>
              <w:rPr>
                <w:rFonts w:ascii="Calibri" w:hAnsi="Calibri"/>
                <w:color w:val="000000"/>
                <w:sz w:val="18"/>
                <w:szCs w:val="18"/>
              </w:rPr>
            </w:pPr>
            <w:r w:rsidRPr="00023DC8">
              <w:rPr>
                <w:rFonts w:ascii="Calibri" w:hAnsi="Calibri"/>
                <w:color w:val="000000"/>
                <w:sz w:val="18"/>
                <w:szCs w:val="18"/>
              </w:rPr>
              <w:t>1.57%</w:t>
            </w:r>
          </w:p>
        </w:tc>
      </w:tr>
      <w:tr w:rsidR="00023DC8" w:rsidRPr="00ED504D" w:rsidTr="006C43BF">
        <w:trPr>
          <w:trHeight w:val="254"/>
          <w:jc w:val="center"/>
        </w:trPr>
        <w:tc>
          <w:tcPr>
            <w:tcW w:w="1134" w:type="dxa"/>
            <w:vMerge w:val="restart"/>
            <w:vAlign w:val="center"/>
          </w:tcPr>
          <w:p w:rsidR="00023DC8" w:rsidRPr="00ED504D" w:rsidRDefault="00023DC8" w:rsidP="00C85BA7">
            <w:pPr>
              <w:rPr>
                <w:rFonts w:ascii="Calibri" w:hAnsi="Calibri"/>
                <w:color w:val="000000"/>
                <w:sz w:val="18"/>
                <w:szCs w:val="20"/>
              </w:rPr>
            </w:pPr>
            <w:r w:rsidRPr="00ED504D">
              <w:rPr>
                <w:rFonts w:ascii="Calibri" w:hAnsi="Calibri"/>
                <w:color w:val="000000"/>
                <w:sz w:val="18"/>
                <w:szCs w:val="20"/>
              </w:rPr>
              <w:t>Italy</w:t>
            </w:r>
          </w:p>
        </w:tc>
        <w:tc>
          <w:tcPr>
            <w:tcW w:w="236" w:type="dxa"/>
          </w:tcPr>
          <w:p w:rsidR="00023DC8" w:rsidRPr="00ED504D" w:rsidRDefault="00023DC8" w:rsidP="00C85BA7">
            <w:pPr>
              <w:jc w:val="center"/>
              <w:rPr>
                <w:sz w:val="18"/>
                <w:szCs w:val="20"/>
              </w:rPr>
            </w:pPr>
          </w:p>
        </w:tc>
        <w:tc>
          <w:tcPr>
            <w:tcW w:w="1077" w:type="dxa"/>
            <w:vAlign w:val="center"/>
          </w:tcPr>
          <w:p w:rsidR="00023DC8" w:rsidRPr="001F7A12" w:rsidRDefault="00023DC8">
            <w:pPr>
              <w:rPr>
                <w:rFonts w:ascii="Calibri" w:hAnsi="Calibri"/>
                <w:b/>
                <w:bCs/>
                <w:color w:val="548DD4"/>
                <w:sz w:val="20"/>
              </w:rPr>
            </w:pPr>
            <w:r w:rsidRPr="001F7A12">
              <w:rPr>
                <w:rFonts w:ascii="Calibri" w:hAnsi="Calibri"/>
                <w:b/>
                <w:bCs/>
                <w:color w:val="548DD4"/>
                <w:sz w:val="20"/>
              </w:rPr>
              <w:t>3.782 ***</w:t>
            </w:r>
          </w:p>
        </w:tc>
        <w:tc>
          <w:tcPr>
            <w:tcW w:w="1077" w:type="dxa"/>
            <w:vAlign w:val="center"/>
          </w:tcPr>
          <w:p w:rsidR="00023DC8" w:rsidRPr="001F7A12" w:rsidRDefault="00023DC8">
            <w:pPr>
              <w:rPr>
                <w:rFonts w:ascii="Calibri" w:hAnsi="Calibri"/>
                <w:b/>
                <w:bCs/>
                <w:color w:val="548DD4"/>
                <w:sz w:val="20"/>
              </w:rPr>
            </w:pPr>
            <w:r w:rsidRPr="001F7A12">
              <w:rPr>
                <w:rFonts w:ascii="Calibri" w:hAnsi="Calibri"/>
                <w:b/>
                <w:bCs/>
                <w:color w:val="548DD4"/>
                <w:sz w:val="20"/>
              </w:rPr>
              <w:t>1.148 ***</w:t>
            </w:r>
          </w:p>
        </w:tc>
        <w:tc>
          <w:tcPr>
            <w:tcW w:w="1077" w:type="dxa"/>
            <w:vAlign w:val="center"/>
          </w:tcPr>
          <w:p w:rsidR="00023DC8" w:rsidRPr="001F7A12" w:rsidRDefault="00023DC8">
            <w:pPr>
              <w:rPr>
                <w:rFonts w:ascii="Calibri" w:hAnsi="Calibri"/>
                <w:color w:val="000000"/>
                <w:sz w:val="20"/>
              </w:rPr>
            </w:pPr>
            <w:r w:rsidRPr="001F7A12">
              <w:rPr>
                <w:rFonts w:ascii="Calibri" w:hAnsi="Calibri"/>
                <w:color w:val="000000"/>
                <w:sz w:val="20"/>
              </w:rPr>
              <w:t>-1.451</w:t>
            </w:r>
          </w:p>
        </w:tc>
        <w:tc>
          <w:tcPr>
            <w:tcW w:w="1078" w:type="dxa"/>
            <w:vAlign w:val="center"/>
          </w:tcPr>
          <w:p w:rsidR="00023DC8" w:rsidRPr="001F7A12" w:rsidRDefault="00023DC8">
            <w:pPr>
              <w:rPr>
                <w:rFonts w:ascii="Calibri" w:hAnsi="Calibri"/>
                <w:color w:val="000000"/>
                <w:sz w:val="20"/>
              </w:rPr>
            </w:pPr>
            <w:r w:rsidRPr="001F7A12">
              <w:rPr>
                <w:rFonts w:ascii="Calibri" w:hAnsi="Calibri"/>
                <w:color w:val="000000"/>
                <w:sz w:val="20"/>
              </w:rPr>
              <w:t>-0.863</w:t>
            </w:r>
          </w:p>
        </w:tc>
        <w:tc>
          <w:tcPr>
            <w:tcW w:w="236" w:type="dxa"/>
          </w:tcPr>
          <w:p w:rsidR="00023DC8" w:rsidRPr="00ED504D" w:rsidRDefault="00023DC8" w:rsidP="00C85BA7">
            <w:pPr>
              <w:rPr>
                <w:rFonts w:ascii="Calibri" w:hAnsi="Calibri"/>
                <w:color w:val="000000"/>
                <w:sz w:val="18"/>
              </w:rPr>
            </w:pPr>
          </w:p>
        </w:tc>
        <w:tc>
          <w:tcPr>
            <w:tcW w:w="1077" w:type="dxa"/>
            <w:vAlign w:val="center"/>
          </w:tcPr>
          <w:p w:rsidR="00023DC8" w:rsidRPr="001F7A12" w:rsidRDefault="00023DC8">
            <w:pPr>
              <w:rPr>
                <w:rFonts w:ascii="Calibri" w:hAnsi="Calibri"/>
                <w:b/>
                <w:bCs/>
                <w:color w:val="FF0000"/>
                <w:sz w:val="18"/>
                <w:szCs w:val="20"/>
              </w:rPr>
            </w:pPr>
            <w:r w:rsidRPr="001F7A12">
              <w:rPr>
                <w:rFonts w:ascii="Calibri" w:hAnsi="Calibri"/>
                <w:b/>
                <w:bCs/>
                <w:color w:val="FF0000"/>
                <w:sz w:val="18"/>
                <w:szCs w:val="20"/>
              </w:rPr>
              <w:t>-2.999 **</w:t>
            </w:r>
          </w:p>
        </w:tc>
        <w:tc>
          <w:tcPr>
            <w:tcW w:w="1077" w:type="dxa"/>
            <w:vAlign w:val="center"/>
          </w:tcPr>
          <w:p w:rsidR="00023DC8" w:rsidRPr="001F7A12" w:rsidRDefault="00023DC8">
            <w:pPr>
              <w:rPr>
                <w:rFonts w:ascii="Calibri" w:hAnsi="Calibri"/>
                <w:color w:val="000000"/>
                <w:sz w:val="18"/>
                <w:szCs w:val="20"/>
              </w:rPr>
            </w:pPr>
            <w:r w:rsidRPr="001F7A12">
              <w:rPr>
                <w:rFonts w:ascii="Calibri" w:hAnsi="Calibri"/>
                <w:color w:val="000000"/>
                <w:sz w:val="18"/>
                <w:szCs w:val="20"/>
              </w:rPr>
              <w:t>-0.288</w:t>
            </w:r>
          </w:p>
        </w:tc>
        <w:tc>
          <w:tcPr>
            <w:tcW w:w="1077" w:type="dxa"/>
            <w:vAlign w:val="center"/>
          </w:tcPr>
          <w:p w:rsidR="00023DC8" w:rsidRPr="001F7A12" w:rsidRDefault="00023DC8">
            <w:pPr>
              <w:rPr>
                <w:rFonts w:ascii="Calibri" w:hAnsi="Calibri"/>
                <w:color w:val="000000"/>
                <w:sz w:val="18"/>
                <w:szCs w:val="20"/>
              </w:rPr>
            </w:pPr>
            <w:r w:rsidRPr="001F7A12">
              <w:rPr>
                <w:rFonts w:ascii="Calibri" w:hAnsi="Calibri"/>
                <w:color w:val="000000"/>
                <w:sz w:val="18"/>
                <w:szCs w:val="20"/>
              </w:rPr>
              <w:t>0.280</w:t>
            </w:r>
          </w:p>
        </w:tc>
        <w:tc>
          <w:tcPr>
            <w:tcW w:w="1078" w:type="dxa"/>
            <w:vAlign w:val="center"/>
          </w:tcPr>
          <w:p w:rsidR="00023DC8" w:rsidRPr="001F7A12" w:rsidRDefault="00023DC8">
            <w:pPr>
              <w:rPr>
                <w:rFonts w:ascii="Calibri" w:hAnsi="Calibri"/>
                <w:color w:val="000000"/>
                <w:sz w:val="18"/>
                <w:szCs w:val="20"/>
              </w:rPr>
            </w:pPr>
            <w:r w:rsidRPr="001F7A12">
              <w:rPr>
                <w:rFonts w:ascii="Calibri" w:hAnsi="Calibri"/>
                <w:color w:val="000000"/>
                <w:sz w:val="18"/>
                <w:szCs w:val="20"/>
              </w:rPr>
              <w:t>-4.680</w:t>
            </w:r>
          </w:p>
        </w:tc>
        <w:tc>
          <w:tcPr>
            <w:tcW w:w="236" w:type="dxa"/>
          </w:tcPr>
          <w:p w:rsidR="00023DC8" w:rsidRPr="00ED504D" w:rsidRDefault="00023DC8" w:rsidP="00C85BA7">
            <w:pPr>
              <w:rPr>
                <w:rFonts w:ascii="Calibri" w:hAnsi="Calibri"/>
                <w:color w:val="000000"/>
                <w:sz w:val="18"/>
              </w:rPr>
            </w:pPr>
          </w:p>
        </w:tc>
        <w:tc>
          <w:tcPr>
            <w:tcW w:w="1077" w:type="dxa"/>
            <w:vAlign w:val="center"/>
          </w:tcPr>
          <w:p w:rsidR="00023DC8" w:rsidRPr="00023DC8" w:rsidRDefault="00023DC8">
            <w:pPr>
              <w:rPr>
                <w:rFonts w:ascii="Calibri" w:hAnsi="Calibri"/>
                <w:b/>
                <w:bCs/>
                <w:color w:val="FF0000"/>
                <w:sz w:val="18"/>
                <w:szCs w:val="20"/>
              </w:rPr>
            </w:pPr>
            <w:r w:rsidRPr="00023DC8">
              <w:rPr>
                <w:rFonts w:ascii="Calibri" w:hAnsi="Calibri"/>
                <w:b/>
                <w:bCs/>
                <w:color w:val="FF0000"/>
                <w:sz w:val="18"/>
                <w:szCs w:val="20"/>
              </w:rPr>
              <w:t>-5.239 ***</w:t>
            </w:r>
          </w:p>
        </w:tc>
        <w:tc>
          <w:tcPr>
            <w:tcW w:w="1077" w:type="dxa"/>
            <w:vAlign w:val="center"/>
          </w:tcPr>
          <w:p w:rsidR="00023DC8" w:rsidRPr="00023DC8" w:rsidRDefault="00023DC8">
            <w:pPr>
              <w:rPr>
                <w:rFonts w:ascii="Calibri" w:hAnsi="Calibri"/>
                <w:b/>
                <w:bCs/>
                <w:color w:val="FF0000"/>
                <w:sz w:val="18"/>
                <w:szCs w:val="20"/>
              </w:rPr>
            </w:pPr>
            <w:r w:rsidRPr="00023DC8">
              <w:rPr>
                <w:rFonts w:ascii="Calibri" w:hAnsi="Calibri"/>
                <w:b/>
                <w:bCs/>
                <w:color w:val="FF0000"/>
                <w:sz w:val="18"/>
                <w:szCs w:val="20"/>
              </w:rPr>
              <w:t>-1.618 ***</w:t>
            </w:r>
          </w:p>
        </w:tc>
        <w:tc>
          <w:tcPr>
            <w:tcW w:w="1077" w:type="dxa"/>
            <w:vAlign w:val="center"/>
          </w:tcPr>
          <w:p w:rsidR="00023DC8" w:rsidRPr="00023DC8" w:rsidRDefault="00023DC8">
            <w:pPr>
              <w:rPr>
                <w:rFonts w:ascii="Calibri" w:hAnsi="Calibri"/>
                <w:color w:val="000000"/>
                <w:sz w:val="18"/>
                <w:szCs w:val="20"/>
              </w:rPr>
            </w:pPr>
            <w:r w:rsidRPr="00023DC8">
              <w:rPr>
                <w:rFonts w:ascii="Calibri" w:hAnsi="Calibri"/>
                <w:color w:val="000000"/>
                <w:sz w:val="18"/>
                <w:szCs w:val="20"/>
              </w:rPr>
              <w:t>1.507</w:t>
            </w:r>
          </w:p>
        </w:tc>
        <w:tc>
          <w:tcPr>
            <w:tcW w:w="1078" w:type="dxa"/>
            <w:gridSpan w:val="2"/>
            <w:vAlign w:val="center"/>
          </w:tcPr>
          <w:p w:rsidR="00023DC8" w:rsidRPr="00023DC8" w:rsidRDefault="00023DC8">
            <w:pPr>
              <w:rPr>
                <w:rFonts w:ascii="Calibri" w:hAnsi="Calibri"/>
                <w:color w:val="000000"/>
                <w:sz w:val="18"/>
                <w:szCs w:val="20"/>
              </w:rPr>
            </w:pPr>
            <w:r w:rsidRPr="00023DC8">
              <w:rPr>
                <w:rFonts w:ascii="Calibri" w:hAnsi="Calibri"/>
                <w:color w:val="000000"/>
                <w:sz w:val="18"/>
                <w:szCs w:val="20"/>
              </w:rPr>
              <w:t>-0.356</w:t>
            </w:r>
          </w:p>
        </w:tc>
      </w:tr>
      <w:tr w:rsidR="00023DC8" w:rsidRPr="00ED504D" w:rsidTr="006C43BF">
        <w:trPr>
          <w:trHeight w:val="254"/>
          <w:jc w:val="center"/>
        </w:trPr>
        <w:tc>
          <w:tcPr>
            <w:tcW w:w="1134" w:type="dxa"/>
            <w:vMerge/>
            <w:vAlign w:val="center"/>
          </w:tcPr>
          <w:p w:rsidR="00023DC8" w:rsidRPr="00ED504D" w:rsidRDefault="00023DC8" w:rsidP="00C85BA7">
            <w:pPr>
              <w:rPr>
                <w:rFonts w:ascii="Calibri" w:hAnsi="Calibri"/>
                <w:color w:val="000000"/>
                <w:sz w:val="18"/>
                <w:szCs w:val="20"/>
              </w:rPr>
            </w:pPr>
          </w:p>
        </w:tc>
        <w:tc>
          <w:tcPr>
            <w:tcW w:w="236" w:type="dxa"/>
          </w:tcPr>
          <w:p w:rsidR="00023DC8" w:rsidRPr="00ED504D" w:rsidRDefault="00023DC8" w:rsidP="00C85BA7">
            <w:pPr>
              <w:jc w:val="center"/>
              <w:rPr>
                <w:sz w:val="18"/>
                <w:szCs w:val="20"/>
              </w:rPr>
            </w:pPr>
          </w:p>
        </w:tc>
        <w:tc>
          <w:tcPr>
            <w:tcW w:w="1077" w:type="dxa"/>
            <w:vAlign w:val="center"/>
          </w:tcPr>
          <w:p w:rsidR="00023DC8" w:rsidRPr="001F7A12" w:rsidRDefault="00023DC8">
            <w:pPr>
              <w:jc w:val="right"/>
              <w:rPr>
                <w:rFonts w:ascii="Calibri" w:hAnsi="Calibri"/>
                <w:color w:val="000000"/>
                <w:sz w:val="20"/>
                <w:szCs w:val="18"/>
              </w:rPr>
            </w:pPr>
            <w:r w:rsidRPr="001F7A12">
              <w:rPr>
                <w:rFonts w:ascii="Calibri" w:hAnsi="Calibri"/>
                <w:color w:val="000000"/>
                <w:sz w:val="20"/>
                <w:szCs w:val="18"/>
              </w:rPr>
              <w:t>3.05%</w:t>
            </w:r>
          </w:p>
        </w:tc>
        <w:tc>
          <w:tcPr>
            <w:tcW w:w="1077" w:type="dxa"/>
            <w:vAlign w:val="center"/>
          </w:tcPr>
          <w:p w:rsidR="00023DC8" w:rsidRPr="001F7A12" w:rsidRDefault="00023DC8">
            <w:pPr>
              <w:jc w:val="right"/>
              <w:rPr>
                <w:rFonts w:ascii="Calibri" w:hAnsi="Calibri"/>
                <w:color w:val="000000"/>
                <w:sz w:val="20"/>
                <w:szCs w:val="18"/>
              </w:rPr>
            </w:pPr>
            <w:r w:rsidRPr="001F7A12">
              <w:rPr>
                <w:rFonts w:ascii="Calibri" w:hAnsi="Calibri"/>
                <w:color w:val="000000"/>
                <w:sz w:val="20"/>
                <w:szCs w:val="18"/>
              </w:rPr>
              <w:t>1.36%</w:t>
            </w:r>
          </w:p>
        </w:tc>
        <w:tc>
          <w:tcPr>
            <w:tcW w:w="1077" w:type="dxa"/>
            <w:vAlign w:val="center"/>
          </w:tcPr>
          <w:p w:rsidR="00023DC8" w:rsidRPr="001F7A12" w:rsidRDefault="00023DC8">
            <w:pPr>
              <w:jc w:val="right"/>
              <w:rPr>
                <w:rFonts w:ascii="Calibri" w:hAnsi="Calibri"/>
                <w:color w:val="000000"/>
                <w:sz w:val="20"/>
                <w:szCs w:val="18"/>
              </w:rPr>
            </w:pPr>
            <w:r w:rsidRPr="001F7A12">
              <w:rPr>
                <w:rFonts w:ascii="Calibri" w:hAnsi="Calibri"/>
                <w:color w:val="000000"/>
                <w:sz w:val="20"/>
                <w:szCs w:val="18"/>
              </w:rPr>
              <w:t>0.43%</w:t>
            </w:r>
          </w:p>
        </w:tc>
        <w:tc>
          <w:tcPr>
            <w:tcW w:w="1078" w:type="dxa"/>
            <w:vAlign w:val="center"/>
          </w:tcPr>
          <w:p w:rsidR="00023DC8" w:rsidRPr="001F7A12" w:rsidRDefault="00023DC8">
            <w:pPr>
              <w:jc w:val="right"/>
              <w:rPr>
                <w:rFonts w:ascii="Calibri" w:hAnsi="Calibri"/>
                <w:color w:val="000000"/>
                <w:sz w:val="20"/>
                <w:szCs w:val="18"/>
              </w:rPr>
            </w:pPr>
            <w:r w:rsidRPr="001F7A12">
              <w:rPr>
                <w:rFonts w:ascii="Calibri" w:hAnsi="Calibri"/>
                <w:color w:val="000000"/>
                <w:sz w:val="20"/>
                <w:szCs w:val="18"/>
              </w:rPr>
              <w:t>0.01%</w:t>
            </w:r>
          </w:p>
        </w:tc>
        <w:tc>
          <w:tcPr>
            <w:tcW w:w="236" w:type="dxa"/>
          </w:tcPr>
          <w:p w:rsidR="00023DC8" w:rsidRPr="006B31B1" w:rsidRDefault="00023DC8" w:rsidP="00C85BA7">
            <w:pPr>
              <w:rPr>
                <w:rFonts w:ascii="Calibri" w:hAnsi="Calibri"/>
                <w:color w:val="000000"/>
                <w:sz w:val="18"/>
              </w:rPr>
            </w:pPr>
          </w:p>
        </w:tc>
        <w:tc>
          <w:tcPr>
            <w:tcW w:w="1077" w:type="dxa"/>
            <w:vAlign w:val="center"/>
          </w:tcPr>
          <w:p w:rsidR="00023DC8" w:rsidRPr="001F7A12" w:rsidRDefault="00023DC8">
            <w:pPr>
              <w:jc w:val="right"/>
              <w:rPr>
                <w:rFonts w:ascii="Calibri" w:hAnsi="Calibri"/>
                <w:color w:val="000000"/>
                <w:sz w:val="18"/>
                <w:szCs w:val="18"/>
              </w:rPr>
            </w:pPr>
            <w:r w:rsidRPr="001F7A12">
              <w:rPr>
                <w:rFonts w:ascii="Calibri" w:hAnsi="Calibri"/>
                <w:color w:val="000000"/>
                <w:sz w:val="18"/>
                <w:szCs w:val="18"/>
              </w:rPr>
              <w:t>0.57%</w:t>
            </w:r>
          </w:p>
        </w:tc>
        <w:tc>
          <w:tcPr>
            <w:tcW w:w="1077" w:type="dxa"/>
            <w:vAlign w:val="center"/>
          </w:tcPr>
          <w:p w:rsidR="00023DC8" w:rsidRPr="001F7A12" w:rsidRDefault="00023DC8">
            <w:pPr>
              <w:jc w:val="right"/>
              <w:rPr>
                <w:rFonts w:ascii="Calibri" w:hAnsi="Calibri"/>
                <w:color w:val="000000"/>
                <w:sz w:val="18"/>
                <w:szCs w:val="18"/>
              </w:rPr>
            </w:pPr>
            <w:r w:rsidRPr="001F7A12">
              <w:rPr>
                <w:rFonts w:ascii="Calibri" w:hAnsi="Calibri"/>
                <w:color w:val="000000"/>
                <w:sz w:val="18"/>
                <w:szCs w:val="18"/>
              </w:rPr>
              <w:t>0.04%</w:t>
            </w:r>
          </w:p>
        </w:tc>
        <w:tc>
          <w:tcPr>
            <w:tcW w:w="1077" w:type="dxa"/>
            <w:vAlign w:val="center"/>
          </w:tcPr>
          <w:p w:rsidR="00023DC8" w:rsidRPr="001F7A12" w:rsidRDefault="00023DC8">
            <w:pPr>
              <w:jc w:val="right"/>
              <w:rPr>
                <w:rFonts w:ascii="Calibri" w:hAnsi="Calibri"/>
                <w:color w:val="000000"/>
                <w:sz w:val="18"/>
                <w:szCs w:val="18"/>
              </w:rPr>
            </w:pPr>
            <w:r w:rsidRPr="001F7A12">
              <w:rPr>
                <w:rFonts w:ascii="Calibri" w:hAnsi="Calibri"/>
                <w:color w:val="000000"/>
                <w:sz w:val="18"/>
                <w:szCs w:val="18"/>
              </w:rPr>
              <w:t>0.00%</w:t>
            </w:r>
          </w:p>
        </w:tc>
        <w:tc>
          <w:tcPr>
            <w:tcW w:w="1078" w:type="dxa"/>
            <w:vAlign w:val="center"/>
          </w:tcPr>
          <w:p w:rsidR="00023DC8" w:rsidRPr="001F7A12" w:rsidRDefault="00023DC8">
            <w:pPr>
              <w:jc w:val="right"/>
              <w:rPr>
                <w:rFonts w:ascii="Calibri" w:hAnsi="Calibri"/>
                <w:color w:val="000000"/>
                <w:sz w:val="18"/>
                <w:szCs w:val="18"/>
              </w:rPr>
            </w:pPr>
            <w:r w:rsidRPr="001F7A12">
              <w:rPr>
                <w:rFonts w:ascii="Calibri" w:hAnsi="Calibri"/>
                <w:color w:val="000000"/>
                <w:sz w:val="18"/>
                <w:szCs w:val="18"/>
              </w:rPr>
              <w:t>0.14%</w:t>
            </w:r>
          </w:p>
        </w:tc>
        <w:tc>
          <w:tcPr>
            <w:tcW w:w="236" w:type="dxa"/>
          </w:tcPr>
          <w:p w:rsidR="00023DC8" w:rsidRPr="006B31B1" w:rsidRDefault="00023DC8" w:rsidP="00C85BA7">
            <w:pPr>
              <w:rPr>
                <w:rFonts w:ascii="Calibri" w:hAnsi="Calibri"/>
                <w:color w:val="000000"/>
                <w:sz w:val="18"/>
              </w:rPr>
            </w:pPr>
          </w:p>
        </w:tc>
        <w:tc>
          <w:tcPr>
            <w:tcW w:w="1077" w:type="dxa"/>
            <w:vAlign w:val="center"/>
          </w:tcPr>
          <w:p w:rsidR="00023DC8" w:rsidRPr="00023DC8" w:rsidRDefault="00023DC8">
            <w:pPr>
              <w:jc w:val="right"/>
              <w:rPr>
                <w:rFonts w:ascii="Calibri" w:hAnsi="Calibri"/>
                <w:color w:val="000000"/>
                <w:sz w:val="18"/>
                <w:szCs w:val="18"/>
              </w:rPr>
            </w:pPr>
            <w:r w:rsidRPr="00023DC8">
              <w:rPr>
                <w:rFonts w:ascii="Calibri" w:hAnsi="Calibri"/>
                <w:color w:val="000000"/>
                <w:sz w:val="18"/>
                <w:szCs w:val="18"/>
              </w:rPr>
              <w:t>5.25%</w:t>
            </w:r>
          </w:p>
        </w:tc>
        <w:tc>
          <w:tcPr>
            <w:tcW w:w="1077" w:type="dxa"/>
            <w:vAlign w:val="center"/>
          </w:tcPr>
          <w:p w:rsidR="00023DC8" w:rsidRPr="00023DC8" w:rsidRDefault="00023DC8">
            <w:pPr>
              <w:jc w:val="right"/>
              <w:rPr>
                <w:rFonts w:ascii="Calibri" w:hAnsi="Calibri"/>
                <w:color w:val="000000"/>
                <w:sz w:val="18"/>
                <w:szCs w:val="18"/>
              </w:rPr>
            </w:pPr>
            <w:r w:rsidRPr="00023DC8">
              <w:rPr>
                <w:rFonts w:ascii="Calibri" w:hAnsi="Calibri"/>
                <w:color w:val="000000"/>
                <w:sz w:val="18"/>
                <w:szCs w:val="18"/>
              </w:rPr>
              <w:t>2.09%</w:t>
            </w:r>
          </w:p>
        </w:tc>
        <w:tc>
          <w:tcPr>
            <w:tcW w:w="1077" w:type="dxa"/>
            <w:vAlign w:val="center"/>
          </w:tcPr>
          <w:p w:rsidR="00023DC8" w:rsidRPr="00023DC8" w:rsidRDefault="00023DC8">
            <w:pPr>
              <w:jc w:val="right"/>
              <w:rPr>
                <w:rFonts w:ascii="Calibri" w:hAnsi="Calibri"/>
                <w:color w:val="000000"/>
                <w:sz w:val="18"/>
                <w:szCs w:val="18"/>
              </w:rPr>
            </w:pPr>
            <w:r w:rsidRPr="00023DC8">
              <w:rPr>
                <w:rFonts w:ascii="Calibri" w:hAnsi="Calibri"/>
                <w:color w:val="000000"/>
                <w:sz w:val="18"/>
                <w:szCs w:val="18"/>
              </w:rPr>
              <w:t>0.46%</w:t>
            </w:r>
          </w:p>
        </w:tc>
        <w:tc>
          <w:tcPr>
            <w:tcW w:w="1078" w:type="dxa"/>
            <w:gridSpan w:val="2"/>
            <w:vAlign w:val="center"/>
          </w:tcPr>
          <w:p w:rsidR="00023DC8" w:rsidRPr="00023DC8" w:rsidRDefault="00023DC8">
            <w:pPr>
              <w:jc w:val="right"/>
              <w:rPr>
                <w:rFonts w:ascii="Calibri" w:hAnsi="Calibri"/>
                <w:color w:val="000000"/>
                <w:sz w:val="18"/>
                <w:szCs w:val="18"/>
              </w:rPr>
            </w:pPr>
            <w:r w:rsidRPr="00023DC8">
              <w:rPr>
                <w:rFonts w:ascii="Calibri" w:hAnsi="Calibri"/>
                <w:color w:val="000000"/>
                <w:sz w:val="18"/>
                <w:szCs w:val="18"/>
              </w:rPr>
              <w:t>0.00%</w:t>
            </w:r>
          </w:p>
        </w:tc>
      </w:tr>
      <w:tr w:rsidR="00023DC8" w:rsidRPr="00ED504D" w:rsidTr="006C43BF">
        <w:trPr>
          <w:trHeight w:val="254"/>
          <w:jc w:val="center"/>
        </w:trPr>
        <w:tc>
          <w:tcPr>
            <w:tcW w:w="1134" w:type="dxa"/>
            <w:vMerge w:val="restart"/>
            <w:vAlign w:val="center"/>
          </w:tcPr>
          <w:p w:rsidR="00023DC8" w:rsidRPr="00ED504D" w:rsidRDefault="00023DC8" w:rsidP="00C85BA7">
            <w:pPr>
              <w:rPr>
                <w:rFonts w:ascii="Calibri" w:hAnsi="Calibri"/>
                <w:color w:val="000000"/>
                <w:sz w:val="18"/>
                <w:szCs w:val="20"/>
              </w:rPr>
            </w:pPr>
            <w:r w:rsidRPr="00ED504D">
              <w:rPr>
                <w:rFonts w:ascii="Calibri" w:hAnsi="Calibri"/>
                <w:color w:val="000000"/>
                <w:sz w:val="18"/>
                <w:szCs w:val="20"/>
              </w:rPr>
              <w:t>Spain</w:t>
            </w:r>
          </w:p>
        </w:tc>
        <w:tc>
          <w:tcPr>
            <w:tcW w:w="236" w:type="dxa"/>
          </w:tcPr>
          <w:p w:rsidR="00023DC8" w:rsidRPr="00ED504D" w:rsidRDefault="00023DC8" w:rsidP="00C85BA7">
            <w:pPr>
              <w:jc w:val="center"/>
              <w:rPr>
                <w:sz w:val="18"/>
                <w:szCs w:val="20"/>
              </w:rPr>
            </w:pPr>
          </w:p>
        </w:tc>
        <w:tc>
          <w:tcPr>
            <w:tcW w:w="1077" w:type="dxa"/>
            <w:vAlign w:val="center"/>
          </w:tcPr>
          <w:p w:rsidR="00023DC8" w:rsidRPr="001F7A12" w:rsidRDefault="00023DC8">
            <w:pPr>
              <w:rPr>
                <w:rFonts w:ascii="Calibri" w:hAnsi="Calibri"/>
                <w:b/>
                <w:bCs/>
                <w:color w:val="548DD4"/>
                <w:sz w:val="20"/>
              </w:rPr>
            </w:pPr>
            <w:r w:rsidRPr="001F7A12">
              <w:rPr>
                <w:rFonts w:ascii="Calibri" w:hAnsi="Calibri"/>
                <w:b/>
                <w:bCs/>
                <w:color w:val="548DD4"/>
                <w:sz w:val="20"/>
              </w:rPr>
              <w:t>4.299 ***</w:t>
            </w:r>
          </w:p>
        </w:tc>
        <w:tc>
          <w:tcPr>
            <w:tcW w:w="1077" w:type="dxa"/>
            <w:vAlign w:val="center"/>
          </w:tcPr>
          <w:p w:rsidR="00023DC8" w:rsidRPr="001F7A12" w:rsidRDefault="00023DC8">
            <w:pPr>
              <w:rPr>
                <w:rFonts w:ascii="Calibri" w:hAnsi="Calibri"/>
                <w:b/>
                <w:bCs/>
                <w:color w:val="548DD4"/>
                <w:sz w:val="20"/>
              </w:rPr>
            </w:pPr>
            <w:r w:rsidRPr="001F7A12">
              <w:rPr>
                <w:rFonts w:ascii="Calibri" w:hAnsi="Calibri"/>
                <w:b/>
                <w:bCs/>
                <w:color w:val="548DD4"/>
                <w:sz w:val="20"/>
              </w:rPr>
              <w:t>2.016 ***</w:t>
            </w:r>
          </w:p>
        </w:tc>
        <w:tc>
          <w:tcPr>
            <w:tcW w:w="1077" w:type="dxa"/>
            <w:vAlign w:val="center"/>
          </w:tcPr>
          <w:p w:rsidR="00023DC8" w:rsidRPr="001F7A12" w:rsidRDefault="00023DC8">
            <w:pPr>
              <w:rPr>
                <w:rFonts w:ascii="Calibri" w:hAnsi="Calibri"/>
                <w:color w:val="000000"/>
                <w:sz w:val="20"/>
              </w:rPr>
            </w:pPr>
            <w:r w:rsidRPr="001F7A12">
              <w:rPr>
                <w:rFonts w:ascii="Calibri" w:hAnsi="Calibri"/>
                <w:color w:val="000000"/>
                <w:sz w:val="20"/>
              </w:rPr>
              <w:t>-0.969</w:t>
            </w:r>
          </w:p>
        </w:tc>
        <w:tc>
          <w:tcPr>
            <w:tcW w:w="1078" w:type="dxa"/>
            <w:vAlign w:val="center"/>
          </w:tcPr>
          <w:p w:rsidR="00023DC8" w:rsidRPr="001F7A12" w:rsidRDefault="00023DC8">
            <w:pPr>
              <w:rPr>
                <w:rFonts w:ascii="Calibri" w:hAnsi="Calibri"/>
                <w:color w:val="000000"/>
                <w:sz w:val="20"/>
              </w:rPr>
            </w:pPr>
            <w:r w:rsidRPr="001F7A12">
              <w:rPr>
                <w:rFonts w:ascii="Calibri" w:hAnsi="Calibri"/>
                <w:color w:val="000000"/>
                <w:sz w:val="20"/>
              </w:rPr>
              <w:t>-2.683</w:t>
            </w:r>
          </w:p>
        </w:tc>
        <w:tc>
          <w:tcPr>
            <w:tcW w:w="236" w:type="dxa"/>
          </w:tcPr>
          <w:p w:rsidR="00023DC8" w:rsidRPr="00ED504D" w:rsidRDefault="00023DC8" w:rsidP="00C85BA7">
            <w:pPr>
              <w:rPr>
                <w:rFonts w:ascii="Calibri" w:hAnsi="Calibri"/>
                <w:color w:val="000000"/>
                <w:sz w:val="18"/>
              </w:rPr>
            </w:pPr>
          </w:p>
        </w:tc>
        <w:tc>
          <w:tcPr>
            <w:tcW w:w="1077" w:type="dxa"/>
            <w:vAlign w:val="center"/>
          </w:tcPr>
          <w:p w:rsidR="00023DC8" w:rsidRPr="001F7A12" w:rsidRDefault="00023DC8">
            <w:pPr>
              <w:rPr>
                <w:rFonts w:ascii="Calibri" w:hAnsi="Calibri"/>
                <w:b/>
                <w:bCs/>
                <w:color w:val="FF0000"/>
                <w:sz w:val="18"/>
                <w:szCs w:val="20"/>
              </w:rPr>
            </w:pPr>
            <w:r w:rsidRPr="001F7A12">
              <w:rPr>
                <w:rFonts w:ascii="Calibri" w:hAnsi="Calibri"/>
                <w:b/>
                <w:bCs/>
                <w:color w:val="FF0000"/>
                <w:sz w:val="18"/>
                <w:szCs w:val="20"/>
              </w:rPr>
              <w:t>-3.530 **</w:t>
            </w:r>
          </w:p>
        </w:tc>
        <w:tc>
          <w:tcPr>
            <w:tcW w:w="1077" w:type="dxa"/>
            <w:vAlign w:val="center"/>
          </w:tcPr>
          <w:p w:rsidR="00023DC8" w:rsidRPr="001F7A12" w:rsidRDefault="00023DC8">
            <w:pPr>
              <w:rPr>
                <w:rFonts w:ascii="Calibri" w:hAnsi="Calibri"/>
                <w:color w:val="000000"/>
                <w:sz w:val="18"/>
                <w:szCs w:val="20"/>
              </w:rPr>
            </w:pPr>
            <w:r w:rsidRPr="001F7A12">
              <w:rPr>
                <w:rFonts w:ascii="Calibri" w:hAnsi="Calibri"/>
                <w:color w:val="000000"/>
                <w:sz w:val="18"/>
                <w:szCs w:val="20"/>
              </w:rPr>
              <w:t>-0.216</w:t>
            </w:r>
          </w:p>
        </w:tc>
        <w:tc>
          <w:tcPr>
            <w:tcW w:w="1077" w:type="dxa"/>
            <w:vAlign w:val="center"/>
          </w:tcPr>
          <w:p w:rsidR="00023DC8" w:rsidRPr="001F7A12" w:rsidRDefault="00023DC8">
            <w:pPr>
              <w:rPr>
                <w:rFonts w:ascii="Calibri" w:hAnsi="Calibri"/>
                <w:color w:val="000000"/>
                <w:sz w:val="18"/>
                <w:szCs w:val="20"/>
              </w:rPr>
            </w:pPr>
            <w:r w:rsidRPr="001F7A12">
              <w:rPr>
                <w:rFonts w:ascii="Calibri" w:hAnsi="Calibri"/>
                <w:color w:val="000000"/>
                <w:sz w:val="18"/>
                <w:szCs w:val="20"/>
              </w:rPr>
              <w:t>-0.682</w:t>
            </w:r>
          </w:p>
        </w:tc>
        <w:tc>
          <w:tcPr>
            <w:tcW w:w="1078" w:type="dxa"/>
            <w:vAlign w:val="center"/>
          </w:tcPr>
          <w:p w:rsidR="00023DC8" w:rsidRPr="001F7A12" w:rsidRDefault="00023DC8">
            <w:pPr>
              <w:rPr>
                <w:rFonts w:ascii="Calibri" w:hAnsi="Calibri"/>
                <w:color w:val="000000"/>
                <w:sz w:val="18"/>
                <w:szCs w:val="20"/>
              </w:rPr>
            </w:pPr>
            <w:r w:rsidRPr="001F7A12">
              <w:rPr>
                <w:rFonts w:ascii="Calibri" w:hAnsi="Calibri"/>
                <w:color w:val="000000"/>
                <w:sz w:val="18"/>
                <w:szCs w:val="20"/>
              </w:rPr>
              <w:t>3.252</w:t>
            </w:r>
          </w:p>
        </w:tc>
        <w:tc>
          <w:tcPr>
            <w:tcW w:w="236" w:type="dxa"/>
          </w:tcPr>
          <w:p w:rsidR="00023DC8" w:rsidRPr="00ED504D" w:rsidRDefault="00023DC8" w:rsidP="00C85BA7">
            <w:pPr>
              <w:rPr>
                <w:rFonts w:ascii="Calibri" w:hAnsi="Calibri"/>
                <w:color w:val="000000"/>
                <w:sz w:val="18"/>
              </w:rPr>
            </w:pPr>
          </w:p>
        </w:tc>
        <w:tc>
          <w:tcPr>
            <w:tcW w:w="1077" w:type="dxa"/>
            <w:vAlign w:val="center"/>
          </w:tcPr>
          <w:p w:rsidR="00023DC8" w:rsidRPr="00023DC8" w:rsidRDefault="00023DC8">
            <w:pPr>
              <w:rPr>
                <w:rFonts w:ascii="Calibri" w:hAnsi="Calibri"/>
                <w:b/>
                <w:bCs/>
                <w:color w:val="FF0000"/>
                <w:sz w:val="18"/>
                <w:szCs w:val="20"/>
              </w:rPr>
            </w:pPr>
            <w:r w:rsidRPr="00023DC8">
              <w:rPr>
                <w:rFonts w:ascii="Calibri" w:hAnsi="Calibri"/>
                <w:b/>
                <w:bCs/>
                <w:color w:val="FF0000"/>
                <w:sz w:val="18"/>
                <w:szCs w:val="20"/>
              </w:rPr>
              <w:t>-5.971 ***</w:t>
            </w:r>
          </w:p>
        </w:tc>
        <w:tc>
          <w:tcPr>
            <w:tcW w:w="1077" w:type="dxa"/>
            <w:vAlign w:val="center"/>
          </w:tcPr>
          <w:p w:rsidR="00023DC8" w:rsidRPr="00023DC8" w:rsidRDefault="00023DC8">
            <w:pPr>
              <w:rPr>
                <w:rFonts w:ascii="Calibri" w:hAnsi="Calibri"/>
                <w:b/>
                <w:bCs/>
                <w:color w:val="FF0000"/>
                <w:sz w:val="18"/>
                <w:szCs w:val="20"/>
              </w:rPr>
            </w:pPr>
            <w:r w:rsidRPr="00023DC8">
              <w:rPr>
                <w:rFonts w:ascii="Calibri" w:hAnsi="Calibri"/>
                <w:b/>
                <w:bCs/>
                <w:color w:val="FF0000"/>
                <w:sz w:val="18"/>
                <w:szCs w:val="20"/>
              </w:rPr>
              <w:t>-2.686 ***</w:t>
            </w:r>
          </w:p>
        </w:tc>
        <w:tc>
          <w:tcPr>
            <w:tcW w:w="1077" w:type="dxa"/>
            <w:vAlign w:val="center"/>
          </w:tcPr>
          <w:p w:rsidR="00023DC8" w:rsidRPr="00023DC8" w:rsidRDefault="00023DC8">
            <w:pPr>
              <w:rPr>
                <w:rFonts w:ascii="Calibri" w:hAnsi="Calibri"/>
                <w:color w:val="000000"/>
                <w:sz w:val="18"/>
                <w:szCs w:val="20"/>
              </w:rPr>
            </w:pPr>
            <w:r w:rsidRPr="00023DC8">
              <w:rPr>
                <w:rFonts w:ascii="Calibri" w:hAnsi="Calibri"/>
                <w:color w:val="000000"/>
                <w:sz w:val="18"/>
                <w:szCs w:val="20"/>
              </w:rPr>
              <w:t>0.869</w:t>
            </w:r>
          </w:p>
        </w:tc>
        <w:tc>
          <w:tcPr>
            <w:tcW w:w="1078" w:type="dxa"/>
            <w:gridSpan w:val="2"/>
            <w:vAlign w:val="center"/>
          </w:tcPr>
          <w:p w:rsidR="00023DC8" w:rsidRPr="00023DC8" w:rsidRDefault="00023DC8">
            <w:pPr>
              <w:rPr>
                <w:rFonts w:ascii="Calibri" w:hAnsi="Calibri"/>
                <w:color w:val="000000"/>
                <w:sz w:val="18"/>
                <w:szCs w:val="20"/>
              </w:rPr>
            </w:pPr>
            <w:r w:rsidRPr="00023DC8">
              <w:rPr>
                <w:rFonts w:ascii="Calibri" w:hAnsi="Calibri"/>
                <w:color w:val="000000"/>
                <w:sz w:val="18"/>
                <w:szCs w:val="20"/>
              </w:rPr>
              <w:t>5.636</w:t>
            </w:r>
          </w:p>
        </w:tc>
      </w:tr>
      <w:tr w:rsidR="00023DC8" w:rsidRPr="00ED504D" w:rsidTr="006C43BF">
        <w:trPr>
          <w:trHeight w:val="254"/>
          <w:jc w:val="center"/>
        </w:trPr>
        <w:tc>
          <w:tcPr>
            <w:tcW w:w="1134" w:type="dxa"/>
            <w:vMerge/>
            <w:vAlign w:val="center"/>
          </w:tcPr>
          <w:p w:rsidR="00023DC8" w:rsidRPr="00ED504D" w:rsidRDefault="00023DC8" w:rsidP="00C85BA7">
            <w:pPr>
              <w:rPr>
                <w:rFonts w:ascii="Calibri" w:hAnsi="Calibri"/>
                <w:color w:val="000000"/>
                <w:sz w:val="18"/>
                <w:szCs w:val="20"/>
              </w:rPr>
            </w:pPr>
          </w:p>
        </w:tc>
        <w:tc>
          <w:tcPr>
            <w:tcW w:w="236" w:type="dxa"/>
          </w:tcPr>
          <w:p w:rsidR="00023DC8" w:rsidRPr="00ED504D" w:rsidRDefault="00023DC8" w:rsidP="00C85BA7">
            <w:pPr>
              <w:jc w:val="center"/>
              <w:rPr>
                <w:sz w:val="18"/>
                <w:szCs w:val="20"/>
              </w:rPr>
            </w:pPr>
          </w:p>
        </w:tc>
        <w:tc>
          <w:tcPr>
            <w:tcW w:w="1077" w:type="dxa"/>
            <w:vAlign w:val="center"/>
          </w:tcPr>
          <w:p w:rsidR="00023DC8" w:rsidRPr="001F7A12" w:rsidRDefault="00023DC8">
            <w:pPr>
              <w:jc w:val="right"/>
              <w:rPr>
                <w:rFonts w:ascii="Calibri" w:hAnsi="Calibri"/>
                <w:color w:val="000000"/>
                <w:sz w:val="20"/>
                <w:szCs w:val="18"/>
              </w:rPr>
            </w:pPr>
            <w:r w:rsidRPr="001F7A12">
              <w:rPr>
                <w:rFonts w:ascii="Calibri" w:hAnsi="Calibri"/>
                <w:color w:val="000000"/>
                <w:sz w:val="20"/>
                <w:szCs w:val="18"/>
              </w:rPr>
              <w:t>3.35%</w:t>
            </w:r>
          </w:p>
        </w:tc>
        <w:tc>
          <w:tcPr>
            <w:tcW w:w="1077" w:type="dxa"/>
            <w:vAlign w:val="center"/>
          </w:tcPr>
          <w:p w:rsidR="00023DC8" w:rsidRPr="001F7A12" w:rsidRDefault="00023DC8">
            <w:pPr>
              <w:jc w:val="right"/>
              <w:rPr>
                <w:rFonts w:ascii="Calibri" w:hAnsi="Calibri"/>
                <w:color w:val="000000"/>
                <w:sz w:val="20"/>
                <w:szCs w:val="18"/>
              </w:rPr>
            </w:pPr>
            <w:r w:rsidRPr="001F7A12">
              <w:rPr>
                <w:rFonts w:ascii="Calibri" w:hAnsi="Calibri"/>
                <w:color w:val="000000"/>
                <w:sz w:val="20"/>
                <w:szCs w:val="18"/>
              </w:rPr>
              <w:t>2.69%</w:t>
            </w:r>
          </w:p>
        </w:tc>
        <w:tc>
          <w:tcPr>
            <w:tcW w:w="1077" w:type="dxa"/>
            <w:vAlign w:val="center"/>
          </w:tcPr>
          <w:p w:rsidR="00023DC8" w:rsidRPr="001F7A12" w:rsidRDefault="00023DC8">
            <w:pPr>
              <w:jc w:val="right"/>
              <w:rPr>
                <w:rFonts w:ascii="Calibri" w:hAnsi="Calibri"/>
                <w:color w:val="000000"/>
                <w:sz w:val="20"/>
                <w:szCs w:val="18"/>
              </w:rPr>
            </w:pPr>
            <w:r w:rsidRPr="001F7A12">
              <w:rPr>
                <w:rFonts w:ascii="Calibri" w:hAnsi="Calibri"/>
                <w:color w:val="000000"/>
                <w:sz w:val="20"/>
                <w:szCs w:val="18"/>
              </w:rPr>
              <w:t>0.15%</w:t>
            </w:r>
          </w:p>
        </w:tc>
        <w:tc>
          <w:tcPr>
            <w:tcW w:w="1078" w:type="dxa"/>
            <w:vAlign w:val="center"/>
          </w:tcPr>
          <w:p w:rsidR="00023DC8" w:rsidRPr="001F7A12" w:rsidRDefault="00023DC8">
            <w:pPr>
              <w:jc w:val="right"/>
              <w:rPr>
                <w:rFonts w:ascii="Calibri" w:hAnsi="Calibri"/>
                <w:color w:val="000000"/>
                <w:sz w:val="20"/>
                <w:szCs w:val="18"/>
              </w:rPr>
            </w:pPr>
            <w:r w:rsidRPr="001F7A12">
              <w:rPr>
                <w:rFonts w:ascii="Calibri" w:hAnsi="Calibri"/>
                <w:color w:val="000000"/>
                <w:sz w:val="20"/>
                <w:szCs w:val="18"/>
              </w:rPr>
              <w:t>0.07%</w:t>
            </w:r>
          </w:p>
        </w:tc>
        <w:tc>
          <w:tcPr>
            <w:tcW w:w="236" w:type="dxa"/>
          </w:tcPr>
          <w:p w:rsidR="00023DC8" w:rsidRPr="006B31B1" w:rsidRDefault="00023DC8" w:rsidP="00C85BA7">
            <w:pPr>
              <w:rPr>
                <w:rFonts w:ascii="Calibri" w:hAnsi="Calibri"/>
                <w:color w:val="000000"/>
                <w:sz w:val="18"/>
              </w:rPr>
            </w:pPr>
          </w:p>
        </w:tc>
        <w:tc>
          <w:tcPr>
            <w:tcW w:w="1077" w:type="dxa"/>
            <w:vAlign w:val="center"/>
          </w:tcPr>
          <w:p w:rsidR="00023DC8" w:rsidRPr="001F7A12" w:rsidRDefault="00023DC8">
            <w:pPr>
              <w:jc w:val="right"/>
              <w:rPr>
                <w:rFonts w:ascii="Calibri" w:hAnsi="Calibri"/>
                <w:color w:val="000000"/>
                <w:sz w:val="18"/>
                <w:szCs w:val="18"/>
              </w:rPr>
            </w:pPr>
            <w:r w:rsidRPr="001F7A12">
              <w:rPr>
                <w:rFonts w:ascii="Calibri" w:hAnsi="Calibri"/>
                <w:color w:val="000000"/>
                <w:sz w:val="18"/>
                <w:szCs w:val="18"/>
              </w:rPr>
              <w:t>0.67%</w:t>
            </w:r>
          </w:p>
        </w:tc>
        <w:tc>
          <w:tcPr>
            <w:tcW w:w="1077" w:type="dxa"/>
            <w:vAlign w:val="center"/>
          </w:tcPr>
          <w:p w:rsidR="00023DC8" w:rsidRPr="001F7A12" w:rsidRDefault="00023DC8">
            <w:pPr>
              <w:jc w:val="right"/>
              <w:rPr>
                <w:rFonts w:ascii="Calibri" w:hAnsi="Calibri"/>
                <w:color w:val="000000"/>
                <w:sz w:val="18"/>
                <w:szCs w:val="18"/>
              </w:rPr>
            </w:pPr>
            <w:r w:rsidRPr="001F7A12">
              <w:rPr>
                <w:rFonts w:ascii="Calibri" w:hAnsi="Calibri"/>
                <w:color w:val="000000"/>
                <w:sz w:val="18"/>
                <w:szCs w:val="18"/>
              </w:rPr>
              <w:t>0.01%</w:t>
            </w:r>
          </w:p>
        </w:tc>
        <w:tc>
          <w:tcPr>
            <w:tcW w:w="1077" w:type="dxa"/>
            <w:vAlign w:val="center"/>
          </w:tcPr>
          <w:p w:rsidR="00023DC8" w:rsidRPr="001F7A12" w:rsidRDefault="00023DC8">
            <w:pPr>
              <w:jc w:val="right"/>
              <w:rPr>
                <w:rFonts w:ascii="Calibri" w:hAnsi="Calibri"/>
                <w:color w:val="000000"/>
                <w:sz w:val="18"/>
                <w:szCs w:val="18"/>
              </w:rPr>
            </w:pPr>
            <w:r w:rsidRPr="001F7A12">
              <w:rPr>
                <w:rFonts w:ascii="Calibri" w:hAnsi="Calibri"/>
                <w:color w:val="000000"/>
                <w:sz w:val="18"/>
                <w:szCs w:val="18"/>
              </w:rPr>
              <w:t>0.00%</w:t>
            </w:r>
          </w:p>
        </w:tc>
        <w:tc>
          <w:tcPr>
            <w:tcW w:w="1078" w:type="dxa"/>
            <w:vAlign w:val="center"/>
          </w:tcPr>
          <w:p w:rsidR="00023DC8" w:rsidRPr="001F7A12" w:rsidRDefault="00023DC8">
            <w:pPr>
              <w:jc w:val="right"/>
              <w:rPr>
                <w:rFonts w:ascii="Calibri" w:hAnsi="Calibri"/>
                <w:color w:val="000000"/>
                <w:sz w:val="18"/>
                <w:szCs w:val="18"/>
              </w:rPr>
            </w:pPr>
            <w:r w:rsidRPr="001F7A12">
              <w:rPr>
                <w:rFonts w:ascii="Calibri" w:hAnsi="Calibri"/>
                <w:color w:val="000000"/>
                <w:sz w:val="18"/>
                <w:szCs w:val="18"/>
              </w:rPr>
              <w:t>0.04%</w:t>
            </w:r>
          </w:p>
        </w:tc>
        <w:tc>
          <w:tcPr>
            <w:tcW w:w="236" w:type="dxa"/>
          </w:tcPr>
          <w:p w:rsidR="00023DC8" w:rsidRPr="006B31B1" w:rsidRDefault="00023DC8" w:rsidP="00C85BA7">
            <w:pPr>
              <w:rPr>
                <w:rFonts w:ascii="Calibri" w:hAnsi="Calibri"/>
                <w:color w:val="000000"/>
                <w:sz w:val="18"/>
              </w:rPr>
            </w:pPr>
          </w:p>
        </w:tc>
        <w:tc>
          <w:tcPr>
            <w:tcW w:w="1077" w:type="dxa"/>
            <w:vAlign w:val="center"/>
          </w:tcPr>
          <w:p w:rsidR="00023DC8" w:rsidRPr="00023DC8" w:rsidRDefault="00023DC8">
            <w:pPr>
              <w:jc w:val="right"/>
              <w:rPr>
                <w:rFonts w:ascii="Calibri" w:hAnsi="Calibri"/>
                <w:color w:val="000000"/>
                <w:sz w:val="18"/>
                <w:szCs w:val="18"/>
              </w:rPr>
            </w:pPr>
            <w:r w:rsidRPr="00023DC8">
              <w:rPr>
                <w:rFonts w:ascii="Calibri" w:hAnsi="Calibri"/>
                <w:color w:val="000000"/>
                <w:sz w:val="18"/>
                <w:szCs w:val="18"/>
              </w:rPr>
              <w:t>5.84%</w:t>
            </w:r>
          </w:p>
        </w:tc>
        <w:tc>
          <w:tcPr>
            <w:tcW w:w="1077" w:type="dxa"/>
            <w:vAlign w:val="center"/>
          </w:tcPr>
          <w:p w:rsidR="00023DC8" w:rsidRPr="00023DC8" w:rsidRDefault="00023DC8">
            <w:pPr>
              <w:jc w:val="right"/>
              <w:rPr>
                <w:rFonts w:ascii="Calibri" w:hAnsi="Calibri"/>
                <w:color w:val="000000"/>
                <w:sz w:val="18"/>
                <w:szCs w:val="18"/>
              </w:rPr>
            </w:pPr>
            <w:r w:rsidRPr="00023DC8">
              <w:rPr>
                <w:rFonts w:ascii="Calibri" w:hAnsi="Calibri"/>
                <w:color w:val="000000"/>
                <w:sz w:val="18"/>
                <w:szCs w:val="18"/>
              </w:rPr>
              <w:t>3.63%</w:t>
            </w:r>
          </w:p>
        </w:tc>
        <w:tc>
          <w:tcPr>
            <w:tcW w:w="1077" w:type="dxa"/>
            <w:vAlign w:val="center"/>
          </w:tcPr>
          <w:p w:rsidR="00023DC8" w:rsidRPr="00023DC8" w:rsidRDefault="00023DC8">
            <w:pPr>
              <w:jc w:val="right"/>
              <w:rPr>
                <w:rFonts w:ascii="Calibri" w:hAnsi="Calibri"/>
                <w:color w:val="000000"/>
                <w:sz w:val="18"/>
                <w:szCs w:val="18"/>
              </w:rPr>
            </w:pPr>
            <w:r w:rsidRPr="00023DC8">
              <w:rPr>
                <w:rFonts w:ascii="Calibri" w:hAnsi="Calibri"/>
                <w:color w:val="000000"/>
                <w:sz w:val="18"/>
                <w:szCs w:val="18"/>
              </w:rPr>
              <w:t>0.12%</w:t>
            </w:r>
          </w:p>
        </w:tc>
        <w:tc>
          <w:tcPr>
            <w:tcW w:w="1078" w:type="dxa"/>
            <w:gridSpan w:val="2"/>
            <w:vAlign w:val="center"/>
          </w:tcPr>
          <w:p w:rsidR="00023DC8" w:rsidRPr="00023DC8" w:rsidRDefault="00023DC8">
            <w:pPr>
              <w:jc w:val="right"/>
              <w:rPr>
                <w:rFonts w:ascii="Calibri" w:hAnsi="Calibri"/>
                <w:color w:val="000000"/>
                <w:sz w:val="18"/>
                <w:szCs w:val="18"/>
              </w:rPr>
            </w:pPr>
            <w:r w:rsidRPr="00023DC8">
              <w:rPr>
                <w:rFonts w:ascii="Calibri" w:hAnsi="Calibri"/>
                <w:color w:val="000000"/>
                <w:sz w:val="18"/>
                <w:szCs w:val="18"/>
              </w:rPr>
              <w:t>0.29%</w:t>
            </w:r>
          </w:p>
        </w:tc>
      </w:tr>
      <w:tr w:rsidR="00023DC8" w:rsidRPr="00ED504D" w:rsidTr="006C43BF">
        <w:trPr>
          <w:trHeight w:val="254"/>
          <w:jc w:val="center"/>
        </w:trPr>
        <w:tc>
          <w:tcPr>
            <w:tcW w:w="1134" w:type="dxa"/>
            <w:vMerge w:val="restart"/>
            <w:vAlign w:val="center"/>
          </w:tcPr>
          <w:p w:rsidR="00023DC8" w:rsidRPr="00ED504D" w:rsidRDefault="00023DC8" w:rsidP="00C85BA7">
            <w:pPr>
              <w:rPr>
                <w:rFonts w:ascii="Calibri" w:hAnsi="Calibri"/>
                <w:color w:val="000000"/>
                <w:sz w:val="18"/>
                <w:szCs w:val="20"/>
              </w:rPr>
            </w:pPr>
            <w:r w:rsidRPr="00ED504D">
              <w:rPr>
                <w:rFonts w:ascii="Calibri" w:hAnsi="Calibri"/>
                <w:color w:val="000000"/>
                <w:sz w:val="18"/>
                <w:szCs w:val="20"/>
              </w:rPr>
              <w:t>Portugal</w:t>
            </w:r>
          </w:p>
        </w:tc>
        <w:tc>
          <w:tcPr>
            <w:tcW w:w="236" w:type="dxa"/>
          </w:tcPr>
          <w:p w:rsidR="00023DC8" w:rsidRPr="00ED504D" w:rsidRDefault="00023DC8" w:rsidP="00C85BA7">
            <w:pPr>
              <w:jc w:val="center"/>
              <w:rPr>
                <w:sz w:val="18"/>
                <w:szCs w:val="20"/>
              </w:rPr>
            </w:pPr>
          </w:p>
        </w:tc>
        <w:tc>
          <w:tcPr>
            <w:tcW w:w="1077" w:type="dxa"/>
            <w:vAlign w:val="center"/>
          </w:tcPr>
          <w:p w:rsidR="00023DC8" w:rsidRPr="001F7A12" w:rsidRDefault="00023DC8">
            <w:pPr>
              <w:rPr>
                <w:rFonts w:ascii="Calibri" w:hAnsi="Calibri"/>
                <w:b/>
                <w:bCs/>
                <w:color w:val="548DD4"/>
                <w:sz w:val="20"/>
              </w:rPr>
            </w:pPr>
            <w:r w:rsidRPr="001F7A12">
              <w:rPr>
                <w:rFonts w:ascii="Calibri" w:hAnsi="Calibri"/>
                <w:b/>
                <w:bCs/>
                <w:color w:val="548DD4"/>
                <w:sz w:val="20"/>
              </w:rPr>
              <w:t>3.741 ***</w:t>
            </w:r>
          </w:p>
        </w:tc>
        <w:tc>
          <w:tcPr>
            <w:tcW w:w="1077" w:type="dxa"/>
            <w:vAlign w:val="center"/>
          </w:tcPr>
          <w:p w:rsidR="00023DC8" w:rsidRPr="001F7A12" w:rsidRDefault="00023DC8">
            <w:pPr>
              <w:rPr>
                <w:rFonts w:ascii="Calibri" w:hAnsi="Calibri"/>
                <w:b/>
                <w:bCs/>
                <w:color w:val="548DD4"/>
                <w:sz w:val="20"/>
              </w:rPr>
            </w:pPr>
            <w:r w:rsidRPr="001F7A12">
              <w:rPr>
                <w:rFonts w:ascii="Calibri" w:hAnsi="Calibri"/>
                <w:b/>
                <w:bCs/>
                <w:color w:val="548DD4"/>
                <w:sz w:val="20"/>
              </w:rPr>
              <w:t>1.818 ***</w:t>
            </w:r>
          </w:p>
        </w:tc>
        <w:tc>
          <w:tcPr>
            <w:tcW w:w="1077" w:type="dxa"/>
            <w:vAlign w:val="center"/>
          </w:tcPr>
          <w:p w:rsidR="00023DC8" w:rsidRPr="001F7A12" w:rsidRDefault="00023DC8">
            <w:pPr>
              <w:rPr>
                <w:rFonts w:ascii="Calibri" w:hAnsi="Calibri"/>
                <w:color w:val="000000"/>
                <w:sz w:val="20"/>
              </w:rPr>
            </w:pPr>
            <w:r w:rsidRPr="001F7A12">
              <w:rPr>
                <w:rFonts w:ascii="Calibri" w:hAnsi="Calibri"/>
                <w:color w:val="000000"/>
                <w:sz w:val="20"/>
              </w:rPr>
              <w:t>-0.481</w:t>
            </w:r>
          </w:p>
        </w:tc>
        <w:tc>
          <w:tcPr>
            <w:tcW w:w="1078" w:type="dxa"/>
            <w:vAlign w:val="center"/>
          </w:tcPr>
          <w:p w:rsidR="00023DC8" w:rsidRPr="001F7A12" w:rsidRDefault="00023DC8">
            <w:pPr>
              <w:rPr>
                <w:rFonts w:ascii="Calibri" w:hAnsi="Calibri"/>
                <w:color w:val="000000"/>
                <w:sz w:val="20"/>
              </w:rPr>
            </w:pPr>
            <w:r w:rsidRPr="001F7A12">
              <w:rPr>
                <w:rFonts w:ascii="Calibri" w:hAnsi="Calibri"/>
                <w:color w:val="000000"/>
                <w:sz w:val="20"/>
              </w:rPr>
              <w:t>-4.460</w:t>
            </w:r>
          </w:p>
        </w:tc>
        <w:tc>
          <w:tcPr>
            <w:tcW w:w="236" w:type="dxa"/>
          </w:tcPr>
          <w:p w:rsidR="00023DC8" w:rsidRPr="00ED504D" w:rsidRDefault="00023DC8" w:rsidP="00C85BA7">
            <w:pPr>
              <w:rPr>
                <w:rFonts w:ascii="Calibri" w:hAnsi="Calibri"/>
                <w:color w:val="000000"/>
                <w:sz w:val="18"/>
              </w:rPr>
            </w:pPr>
          </w:p>
        </w:tc>
        <w:tc>
          <w:tcPr>
            <w:tcW w:w="1077" w:type="dxa"/>
            <w:vAlign w:val="center"/>
          </w:tcPr>
          <w:p w:rsidR="00023DC8" w:rsidRPr="001F7A12" w:rsidRDefault="00023DC8">
            <w:pPr>
              <w:rPr>
                <w:rFonts w:ascii="Calibri" w:hAnsi="Calibri"/>
                <w:b/>
                <w:bCs/>
                <w:color w:val="FF0000"/>
                <w:sz w:val="18"/>
                <w:szCs w:val="20"/>
              </w:rPr>
            </w:pPr>
            <w:r w:rsidRPr="001F7A12">
              <w:rPr>
                <w:rFonts w:ascii="Calibri" w:hAnsi="Calibri"/>
                <w:b/>
                <w:bCs/>
                <w:color w:val="FF0000"/>
                <w:sz w:val="18"/>
                <w:szCs w:val="20"/>
              </w:rPr>
              <w:t>-3.658 ***</w:t>
            </w:r>
          </w:p>
        </w:tc>
        <w:tc>
          <w:tcPr>
            <w:tcW w:w="1077" w:type="dxa"/>
            <w:vAlign w:val="center"/>
          </w:tcPr>
          <w:p w:rsidR="00023DC8" w:rsidRPr="001F7A12" w:rsidRDefault="00023DC8">
            <w:pPr>
              <w:rPr>
                <w:rFonts w:ascii="Calibri" w:hAnsi="Calibri"/>
                <w:color w:val="000000"/>
                <w:sz w:val="18"/>
                <w:szCs w:val="20"/>
              </w:rPr>
            </w:pPr>
            <w:r w:rsidRPr="001F7A12">
              <w:rPr>
                <w:rFonts w:ascii="Calibri" w:hAnsi="Calibri"/>
                <w:color w:val="000000"/>
                <w:sz w:val="18"/>
                <w:szCs w:val="20"/>
              </w:rPr>
              <w:t>-0.071</w:t>
            </w:r>
          </w:p>
        </w:tc>
        <w:tc>
          <w:tcPr>
            <w:tcW w:w="1077" w:type="dxa"/>
            <w:vAlign w:val="center"/>
          </w:tcPr>
          <w:p w:rsidR="00023DC8" w:rsidRPr="001F7A12" w:rsidRDefault="00023DC8">
            <w:pPr>
              <w:rPr>
                <w:rFonts w:ascii="Calibri" w:hAnsi="Calibri"/>
                <w:color w:val="000000"/>
                <w:sz w:val="18"/>
                <w:szCs w:val="20"/>
              </w:rPr>
            </w:pPr>
            <w:r w:rsidRPr="001F7A12">
              <w:rPr>
                <w:rFonts w:ascii="Calibri" w:hAnsi="Calibri"/>
                <w:color w:val="000000"/>
                <w:sz w:val="18"/>
                <w:szCs w:val="20"/>
              </w:rPr>
              <w:t>-7.101</w:t>
            </w:r>
          </w:p>
        </w:tc>
        <w:tc>
          <w:tcPr>
            <w:tcW w:w="1078" w:type="dxa"/>
            <w:vAlign w:val="center"/>
          </w:tcPr>
          <w:p w:rsidR="00023DC8" w:rsidRPr="001F7A12" w:rsidRDefault="00023DC8">
            <w:pPr>
              <w:rPr>
                <w:rFonts w:ascii="Calibri" w:hAnsi="Calibri"/>
                <w:color w:val="000000"/>
                <w:sz w:val="18"/>
                <w:szCs w:val="20"/>
              </w:rPr>
            </w:pPr>
            <w:r w:rsidRPr="001F7A12">
              <w:rPr>
                <w:rFonts w:ascii="Calibri" w:hAnsi="Calibri"/>
                <w:color w:val="000000"/>
                <w:sz w:val="18"/>
                <w:szCs w:val="20"/>
              </w:rPr>
              <w:t>-17.326</w:t>
            </w:r>
          </w:p>
        </w:tc>
        <w:tc>
          <w:tcPr>
            <w:tcW w:w="236" w:type="dxa"/>
          </w:tcPr>
          <w:p w:rsidR="00023DC8" w:rsidRPr="00ED504D" w:rsidRDefault="00023DC8" w:rsidP="00C85BA7">
            <w:pPr>
              <w:rPr>
                <w:rFonts w:ascii="Calibri" w:hAnsi="Calibri"/>
                <w:color w:val="000000"/>
                <w:sz w:val="18"/>
              </w:rPr>
            </w:pPr>
          </w:p>
        </w:tc>
        <w:tc>
          <w:tcPr>
            <w:tcW w:w="1077" w:type="dxa"/>
            <w:vAlign w:val="center"/>
          </w:tcPr>
          <w:p w:rsidR="00023DC8" w:rsidRPr="00023DC8" w:rsidRDefault="00023DC8">
            <w:pPr>
              <w:rPr>
                <w:rFonts w:ascii="Calibri" w:hAnsi="Calibri"/>
                <w:b/>
                <w:bCs/>
                <w:color w:val="FF0000"/>
                <w:sz w:val="18"/>
                <w:szCs w:val="20"/>
              </w:rPr>
            </w:pPr>
            <w:r w:rsidRPr="00023DC8">
              <w:rPr>
                <w:rFonts w:ascii="Calibri" w:hAnsi="Calibri"/>
                <w:b/>
                <w:bCs/>
                <w:color w:val="FF0000"/>
                <w:sz w:val="18"/>
                <w:szCs w:val="20"/>
              </w:rPr>
              <w:t>-5.490 ***</w:t>
            </w:r>
          </w:p>
        </w:tc>
        <w:tc>
          <w:tcPr>
            <w:tcW w:w="1077" w:type="dxa"/>
            <w:vAlign w:val="center"/>
          </w:tcPr>
          <w:p w:rsidR="00023DC8" w:rsidRPr="00023DC8" w:rsidRDefault="00023DC8">
            <w:pPr>
              <w:rPr>
                <w:rFonts w:ascii="Calibri" w:hAnsi="Calibri"/>
                <w:b/>
                <w:bCs/>
                <w:color w:val="FF0000"/>
                <w:sz w:val="18"/>
                <w:szCs w:val="20"/>
              </w:rPr>
            </w:pPr>
            <w:r w:rsidRPr="00023DC8">
              <w:rPr>
                <w:rFonts w:ascii="Calibri" w:hAnsi="Calibri"/>
                <w:b/>
                <w:bCs/>
                <w:color w:val="FF0000"/>
                <w:sz w:val="18"/>
                <w:szCs w:val="20"/>
              </w:rPr>
              <w:t>-2.314 ***</w:t>
            </w:r>
          </w:p>
        </w:tc>
        <w:tc>
          <w:tcPr>
            <w:tcW w:w="1077" w:type="dxa"/>
            <w:vAlign w:val="center"/>
          </w:tcPr>
          <w:p w:rsidR="00023DC8" w:rsidRPr="00023DC8" w:rsidRDefault="00023DC8">
            <w:pPr>
              <w:rPr>
                <w:rFonts w:ascii="Calibri" w:hAnsi="Calibri"/>
                <w:color w:val="000000"/>
                <w:sz w:val="18"/>
                <w:szCs w:val="20"/>
              </w:rPr>
            </w:pPr>
            <w:r w:rsidRPr="00023DC8">
              <w:rPr>
                <w:rFonts w:ascii="Calibri" w:hAnsi="Calibri"/>
                <w:color w:val="000000"/>
                <w:sz w:val="18"/>
                <w:szCs w:val="20"/>
              </w:rPr>
              <w:t>0.047</w:t>
            </w:r>
          </w:p>
        </w:tc>
        <w:tc>
          <w:tcPr>
            <w:tcW w:w="1078" w:type="dxa"/>
            <w:gridSpan w:val="2"/>
            <w:vAlign w:val="center"/>
          </w:tcPr>
          <w:p w:rsidR="00023DC8" w:rsidRPr="00023DC8" w:rsidRDefault="00023DC8">
            <w:pPr>
              <w:rPr>
                <w:rFonts w:ascii="Calibri" w:hAnsi="Calibri"/>
                <w:color w:val="000000"/>
                <w:sz w:val="18"/>
                <w:szCs w:val="20"/>
              </w:rPr>
            </w:pPr>
            <w:r w:rsidRPr="00023DC8">
              <w:rPr>
                <w:rFonts w:ascii="Calibri" w:hAnsi="Calibri"/>
                <w:color w:val="000000"/>
                <w:sz w:val="18"/>
                <w:szCs w:val="20"/>
              </w:rPr>
              <w:t>-5.567</w:t>
            </w:r>
          </w:p>
        </w:tc>
      </w:tr>
      <w:tr w:rsidR="00023DC8" w:rsidRPr="00ED504D" w:rsidTr="006C43BF">
        <w:trPr>
          <w:trHeight w:val="254"/>
          <w:jc w:val="center"/>
        </w:trPr>
        <w:tc>
          <w:tcPr>
            <w:tcW w:w="1134" w:type="dxa"/>
            <w:vMerge/>
            <w:vAlign w:val="center"/>
          </w:tcPr>
          <w:p w:rsidR="00023DC8" w:rsidRPr="00ED504D" w:rsidRDefault="00023DC8" w:rsidP="00C85BA7">
            <w:pPr>
              <w:rPr>
                <w:rFonts w:ascii="Calibri" w:hAnsi="Calibri"/>
                <w:color w:val="000000"/>
                <w:sz w:val="18"/>
                <w:szCs w:val="20"/>
              </w:rPr>
            </w:pPr>
          </w:p>
        </w:tc>
        <w:tc>
          <w:tcPr>
            <w:tcW w:w="236" w:type="dxa"/>
          </w:tcPr>
          <w:p w:rsidR="00023DC8" w:rsidRPr="00ED504D" w:rsidRDefault="00023DC8" w:rsidP="00C85BA7">
            <w:pPr>
              <w:jc w:val="center"/>
              <w:rPr>
                <w:sz w:val="18"/>
                <w:szCs w:val="20"/>
              </w:rPr>
            </w:pPr>
          </w:p>
        </w:tc>
        <w:tc>
          <w:tcPr>
            <w:tcW w:w="1077" w:type="dxa"/>
            <w:vAlign w:val="center"/>
          </w:tcPr>
          <w:p w:rsidR="00023DC8" w:rsidRPr="001F7A12" w:rsidRDefault="00023DC8">
            <w:pPr>
              <w:jc w:val="right"/>
              <w:rPr>
                <w:rFonts w:ascii="Calibri" w:hAnsi="Calibri"/>
                <w:color w:val="000000"/>
                <w:sz w:val="20"/>
                <w:szCs w:val="18"/>
              </w:rPr>
            </w:pPr>
            <w:r w:rsidRPr="001F7A12">
              <w:rPr>
                <w:rFonts w:ascii="Calibri" w:hAnsi="Calibri"/>
                <w:color w:val="000000"/>
                <w:sz w:val="20"/>
                <w:szCs w:val="18"/>
              </w:rPr>
              <w:t>3.08%</w:t>
            </w:r>
          </w:p>
        </w:tc>
        <w:tc>
          <w:tcPr>
            <w:tcW w:w="1077" w:type="dxa"/>
            <w:vAlign w:val="center"/>
          </w:tcPr>
          <w:p w:rsidR="00023DC8" w:rsidRPr="001F7A12" w:rsidRDefault="00023DC8">
            <w:pPr>
              <w:jc w:val="right"/>
              <w:rPr>
                <w:rFonts w:ascii="Calibri" w:hAnsi="Calibri"/>
                <w:color w:val="000000"/>
                <w:sz w:val="20"/>
                <w:szCs w:val="18"/>
              </w:rPr>
            </w:pPr>
            <w:r w:rsidRPr="001F7A12">
              <w:rPr>
                <w:rFonts w:ascii="Calibri" w:hAnsi="Calibri"/>
                <w:color w:val="000000"/>
                <w:sz w:val="20"/>
                <w:szCs w:val="18"/>
              </w:rPr>
              <w:t>2.37%</w:t>
            </w:r>
          </w:p>
        </w:tc>
        <w:tc>
          <w:tcPr>
            <w:tcW w:w="1077" w:type="dxa"/>
            <w:vAlign w:val="center"/>
          </w:tcPr>
          <w:p w:rsidR="00023DC8" w:rsidRPr="001F7A12" w:rsidRDefault="00023DC8">
            <w:pPr>
              <w:jc w:val="right"/>
              <w:rPr>
                <w:rFonts w:ascii="Calibri" w:hAnsi="Calibri"/>
                <w:color w:val="000000"/>
                <w:sz w:val="20"/>
                <w:szCs w:val="18"/>
              </w:rPr>
            </w:pPr>
            <w:r w:rsidRPr="001F7A12">
              <w:rPr>
                <w:rFonts w:ascii="Calibri" w:hAnsi="Calibri"/>
                <w:color w:val="000000"/>
                <w:sz w:val="20"/>
                <w:szCs w:val="18"/>
              </w:rPr>
              <w:t>-0.01%</w:t>
            </w:r>
          </w:p>
        </w:tc>
        <w:tc>
          <w:tcPr>
            <w:tcW w:w="1078" w:type="dxa"/>
            <w:vAlign w:val="center"/>
          </w:tcPr>
          <w:p w:rsidR="00023DC8" w:rsidRPr="001F7A12" w:rsidRDefault="00023DC8">
            <w:pPr>
              <w:jc w:val="right"/>
              <w:rPr>
                <w:rFonts w:ascii="Calibri" w:hAnsi="Calibri"/>
                <w:color w:val="000000"/>
                <w:sz w:val="20"/>
                <w:szCs w:val="18"/>
              </w:rPr>
            </w:pPr>
            <w:r w:rsidRPr="001F7A12">
              <w:rPr>
                <w:rFonts w:ascii="Calibri" w:hAnsi="Calibri"/>
                <w:color w:val="000000"/>
                <w:sz w:val="20"/>
                <w:szCs w:val="18"/>
              </w:rPr>
              <w:t>0.01%</w:t>
            </w:r>
          </w:p>
        </w:tc>
        <w:tc>
          <w:tcPr>
            <w:tcW w:w="236" w:type="dxa"/>
          </w:tcPr>
          <w:p w:rsidR="00023DC8" w:rsidRPr="006B31B1" w:rsidRDefault="00023DC8" w:rsidP="00C85BA7">
            <w:pPr>
              <w:rPr>
                <w:rFonts w:ascii="Calibri" w:hAnsi="Calibri"/>
                <w:color w:val="000000"/>
                <w:sz w:val="18"/>
              </w:rPr>
            </w:pPr>
          </w:p>
        </w:tc>
        <w:tc>
          <w:tcPr>
            <w:tcW w:w="1077" w:type="dxa"/>
            <w:vAlign w:val="center"/>
          </w:tcPr>
          <w:p w:rsidR="00023DC8" w:rsidRPr="001F7A12" w:rsidRDefault="00023DC8">
            <w:pPr>
              <w:jc w:val="right"/>
              <w:rPr>
                <w:rFonts w:ascii="Calibri" w:hAnsi="Calibri"/>
                <w:color w:val="000000"/>
                <w:sz w:val="18"/>
                <w:szCs w:val="18"/>
              </w:rPr>
            </w:pPr>
            <w:r w:rsidRPr="001F7A12">
              <w:rPr>
                <w:rFonts w:ascii="Calibri" w:hAnsi="Calibri"/>
                <w:color w:val="000000"/>
                <w:sz w:val="18"/>
                <w:szCs w:val="18"/>
              </w:rPr>
              <w:t>0.92%</w:t>
            </w:r>
          </w:p>
        </w:tc>
        <w:tc>
          <w:tcPr>
            <w:tcW w:w="1077" w:type="dxa"/>
            <w:vAlign w:val="center"/>
          </w:tcPr>
          <w:p w:rsidR="00023DC8" w:rsidRPr="001F7A12" w:rsidRDefault="00023DC8">
            <w:pPr>
              <w:jc w:val="right"/>
              <w:rPr>
                <w:rFonts w:ascii="Calibri" w:hAnsi="Calibri"/>
                <w:color w:val="000000"/>
                <w:sz w:val="18"/>
                <w:szCs w:val="18"/>
              </w:rPr>
            </w:pPr>
            <w:r w:rsidRPr="001F7A12">
              <w:rPr>
                <w:rFonts w:ascii="Calibri" w:hAnsi="Calibri"/>
                <w:color w:val="000000"/>
                <w:sz w:val="18"/>
                <w:szCs w:val="18"/>
              </w:rPr>
              <w:t>-0.01%</w:t>
            </w:r>
          </w:p>
        </w:tc>
        <w:tc>
          <w:tcPr>
            <w:tcW w:w="1077" w:type="dxa"/>
            <w:vAlign w:val="center"/>
          </w:tcPr>
          <w:p w:rsidR="00023DC8" w:rsidRPr="001F7A12" w:rsidRDefault="00023DC8">
            <w:pPr>
              <w:jc w:val="right"/>
              <w:rPr>
                <w:rFonts w:ascii="Calibri" w:hAnsi="Calibri"/>
                <w:color w:val="000000"/>
                <w:sz w:val="18"/>
                <w:szCs w:val="18"/>
              </w:rPr>
            </w:pPr>
            <w:r w:rsidRPr="001F7A12">
              <w:rPr>
                <w:rFonts w:ascii="Calibri" w:hAnsi="Calibri"/>
                <w:color w:val="000000"/>
                <w:sz w:val="18"/>
                <w:szCs w:val="18"/>
              </w:rPr>
              <w:t>0.05%</w:t>
            </w:r>
          </w:p>
        </w:tc>
        <w:tc>
          <w:tcPr>
            <w:tcW w:w="1078" w:type="dxa"/>
            <w:vAlign w:val="center"/>
          </w:tcPr>
          <w:p w:rsidR="00023DC8" w:rsidRPr="001F7A12" w:rsidRDefault="00023DC8">
            <w:pPr>
              <w:jc w:val="right"/>
              <w:rPr>
                <w:rFonts w:ascii="Calibri" w:hAnsi="Calibri"/>
                <w:color w:val="000000"/>
                <w:sz w:val="18"/>
                <w:szCs w:val="18"/>
              </w:rPr>
            </w:pPr>
            <w:r w:rsidRPr="001F7A12">
              <w:rPr>
                <w:rFonts w:ascii="Calibri" w:hAnsi="Calibri"/>
                <w:color w:val="000000"/>
                <w:sz w:val="18"/>
                <w:szCs w:val="18"/>
              </w:rPr>
              <w:t>0.16%</w:t>
            </w:r>
          </w:p>
        </w:tc>
        <w:tc>
          <w:tcPr>
            <w:tcW w:w="236" w:type="dxa"/>
          </w:tcPr>
          <w:p w:rsidR="00023DC8" w:rsidRPr="006B31B1" w:rsidRDefault="00023DC8" w:rsidP="00C85BA7">
            <w:pPr>
              <w:rPr>
                <w:rFonts w:ascii="Calibri" w:hAnsi="Calibri"/>
                <w:color w:val="000000"/>
                <w:sz w:val="18"/>
              </w:rPr>
            </w:pPr>
          </w:p>
        </w:tc>
        <w:tc>
          <w:tcPr>
            <w:tcW w:w="1077" w:type="dxa"/>
            <w:vAlign w:val="center"/>
          </w:tcPr>
          <w:p w:rsidR="00023DC8" w:rsidRPr="00023DC8" w:rsidRDefault="00023DC8">
            <w:pPr>
              <w:jc w:val="right"/>
              <w:rPr>
                <w:rFonts w:ascii="Calibri" w:hAnsi="Calibri"/>
                <w:color w:val="000000"/>
                <w:sz w:val="18"/>
                <w:szCs w:val="18"/>
              </w:rPr>
            </w:pPr>
            <w:r w:rsidRPr="00023DC8">
              <w:rPr>
                <w:rFonts w:ascii="Calibri" w:hAnsi="Calibri"/>
                <w:color w:val="000000"/>
                <w:sz w:val="18"/>
                <w:szCs w:val="18"/>
              </w:rPr>
              <w:t>5.96%</w:t>
            </w:r>
          </w:p>
        </w:tc>
        <w:tc>
          <w:tcPr>
            <w:tcW w:w="1077" w:type="dxa"/>
            <w:vAlign w:val="center"/>
          </w:tcPr>
          <w:p w:rsidR="00023DC8" w:rsidRPr="00023DC8" w:rsidRDefault="00023DC8">
            <w:pPr>
              <w:jc w:val="right"/>
              <w:rPr>
                <w:rFonts w:ascii="Calibri" w:hAnsi="Calibri"/>
                <w:color w:val="000000"/>
                <w:sz w:val="18"/>
                <w:szCs w:val="18"/>
              </w:rPr>
            </w:pPr>
            <w:r w:rsidRPr="00023DC8">
              <w:rPr>
                <w:rFonts w:ascii="Calibri" w:hAnsi="Calibri"/>
                <w:color w:val="000000"/>
                <w:sz w:val="18"/>
                <w:szCs w:val="18"/>
              </w:rPr>
              <w:t>2.94%</w:t>
            </w:r>
          </w:p>
        </w:tc>
        <w:tc>
          <w:tcPr>
            <w:tcW w:w="1077" w:type="dxa"/>
            <w:vAlign w:val="center"/>
          </w:tcPr>
          <w:p w:rsidR="00023DC8" w:rsidRPr="00023DC8" w:rsidRDefault="00023DC8">
            <w:pPr>
              <w:jc w:val="right"/>
              <w:rPr>
                <w:rFonts w:ascii="Calibri" w:hAnsi="Calibri"/>
                <w:color w:val="000000"/>
                <w:sz w:val="18"/>
                <w:szCs w:val="18"/>
              </w:rPr>
            </w:pPr>
            <w:r w:rsidRPr="00023DC8">
              <w:rPr>
                <w:rFonts w:ascii="Calibri" w:hAnsi="Calibri"/>
                <w:color w:val="000000"/>
                <w:sz w:val="18"/>
                <w:szCs w:val="18"/>
              </w:rPr>
              <w:t>-0.01%</w:t>
            </w:r>
          </w:p>
        </w:tc>
        <w:tc>
          <w:tcPr>
            <w:tcW w:w="1078" w:type="dxa"/>
            <w:gridSpan w:val="2"/>
            <w:vAlign w:val="center"/>
          </w:tcPr>
          <w:p w:rsidR="00023DC8" w:rsidRPr="00023DC8" w:rsidRDefault="00023DC8">
            <w:pPr>
              <w:jc w:val="right"/>
              <w:rPr>
                <w:rFonts w:ascii="Calibri" w:hAnsi="Calibri"/>
                <w:color w:val="000000"/>
                <w:sz w:val="18"/>
                <w:szCs w:val="18"/>
              </w:rPr>
            </w:pPr>
            <w:r w:rsidRPr="00023DC8">
              <w:rPr>
                <w:rFonts w:ascii="Calibri" w:hAnsi="Calibri"/>
                <w:color w:val="000000"/>
                <w:sz w:val="18"/>
                <w:szCs w:val="18"/>
              </w:rPr>
              <w:t>0.02%</w:t>
            </w:r>
          </w:p>
        </w:tc>
      </w:tr>
      <w:tr w:rsidR="00023DC8" w:rsidRPr="00ED504D" w:rsidTr="006C43BF">
        <w:trPr>
          <w:trHeight w:val="254"/>
          <w:jc w:val="center"/>
        </w:trPr>
        <w:tc>
          <w:tcPr>
            <w:tcW w:w="1134" w:type="dxa"/>
            <w:vMerge w:val="restart"/>
            <w:vAlign w:val="center"/>
          </w:tcPr>
          <w:p w:rsidR="00023DC8" w:rsidRPr="00ED504D" w:rsidRDefault="00023DC8" w:rsidP="00C85BA7">
            <w:pPr>
              <w:rPr>
                <w:rFonts w:ascii="Calibri" w:hAnsi="Calibri"/>
                <w:color w:val="000000"/>
                <w:sz w:val="18"/>
                <w:szCs w:val="20"/>
              </w:rPr>
            </w:pPr>
            <w:r w:rsidRPr="00ED504D">
              <w:rPr>
                <w:rFonts w:ascii="Calibri" w:hAnsi="Calibri"/>
                <w:color w:val="000000"/>
                <w:sz w:val="18"/>
                <w:szCs w:val="20"/>
              </w:rPr>
              <w:t>Ireland</w:t>
            </w:r>
          </w:p>
        </w:tc>
        <w:tc>
          <w:tcPr>
            <w:tcW w:w="236" w:type="dxa"/>
          </w:tcPr>
          <w:p w:rsidR="00023DC8" w:rsidRPr="00ED504D" w:rsidRDefault="00023DC8" w:rsidP="00C85BA7">
            <w:pPr>
              <w:jc w:val="center"/>
              <w:rPr>
                <w:sz w:val="18"/>
                <w:szCs w:val="20"/>
              </w:rPr>
            </w:pPr>
          </w:p>
        </w:tc>
        <w:tc>
          <w:tcPr>
            <w:tcW w:w="1077" w:type="dxa"/>
            <w:vAlign w:val="center"/>
          </w:tcPr>
          <w:p w:rsidR="00023DC8" w:rsidRPr="001F7A12" w:rsidRDefault="00023DC8">
            <w:pPr>
              <w:rPr>
                <w:rFonts w:ascii="Calibri" w:hAnsi="Calibri"/>
                <w:color w:val="000000"/>
                <w:sz w:val="20"/>
              </w:rPr>
            </w:pPr>
            <w:r w:rsidRPr="001F7A12">
              <w:rPr>
                <w:rFonts w:ascii="Calibri" w:hAnsi="Calibri"/>
                <w:color w:val="000000"/>
                <w:sz w:val="20"/>
              </w:rPr>
              <w:t>NA</w:t>
            </w:r>
          </w:p>
        </w:tc>
        <w:tc>
          <w:tcPr>
            <w:tcW w:w="1077" w:type="dxa"/>
            <w:vAlign w:val="center"/>
          </w:tcPr>
          <w:p w:rsidR="00023DC8" w:rsidRPr="001F7A12" w:rsidRDefault="00023DC8">
            <w:pPr>
              <w:rPr>
                <w:rFonts w:ascii="Calibri" w:hAnsi="Calibri"/>
                <w:b/>
                <w:bCs/>
                <w:color w:val="548DD4"/>
                <w:sz w:val="20"/>
              </w:rPr>
            </w:pPr>
            <w:r w:rsidRPr="001F7A12">
              <w:rPr>
                <w:rFonts w:ascii="Calibri" w:hAnsi="Calibri"/>
                <w:b/>
                <w:bCs/>
                <w:color w:val="548DD4"/>
                <w:sz w:val="20"/>
              </w:rPr>
              <w:t>2.023 ***</w:t>
            </w:r>
          </w:p>
        </w:tc>
        <w:tc>
          <w:tcPr>
            <w:tcW w:w="1077" w:type="dxa"/>
            <w:vAlign w:val="center"/>
          </w:tcPr>
          <w:p w:rsidR="00023DC8" w:rsidRPr="001F7A12" w:rsidRDefault="00023DC8">
            <w:pPr>
              <w:rPr>
                <w:rFonts w:ascii="Calibri" w:hAnsi="Calibri"/>
                <w:color w:val="000000"/>
                <w:sz w:val="20"/>
              </w:rPr>
            </w:pPr>
            <w:r w:rsidRPr="001F7A12">
              <w:rPr>
                <w:rFonts w:ascii="Calibri" w:hAnsi="Calibri"/>
                <w:color w:val="000000"/>
                <w:sz w:val="20"/>
              </w:rPr>
              <w:t>1.167</w:t>
            </w:r>
          </w:p>
        </w:tc>
        <w:tc>
          <w:tcPr>
            <w:tcW w:w="1078" w:type="dxa"/>
            <w:vAlign w:val="center"/>
          </w:tcPr>
          <w:p w:rsidR="00023DC8" w:rsidRPr="001F7A12" w:rsidRDefault="00023DC8">
            <w:pPr>
              <w:rPr>
                <w:rFonts w:ascii="Calibri" w:hAnsi="Calibri"/>
                <w:color w:val="000000"/>
                <w:sz w:val="20"/>
              </w:rPr>
            </w:pPr>
            <w:r w:rsidRPr="001F7A12">
              <w:rPr>
                <w:rFonts w:ascii="Calibri" w:hAnsi="Calibri"/>
                <w:color w:val="000000"/>
                <w:sz w:val="20"/>
              </w:rPr>
              <w:t>-2.491</w:t>
            </w:r>
          </w:p>
        </w:tc>
        <w:tc>
          <w:tcPr>
            <w:tcW w:w="236" w:type="dxa"/>
          </w:tcPr>
          <w:p w:rsidR="00023DC8" w:rsidRPr="00ED504D" w:rsidRDefault="00023DC8" w:rsidP="00C85BA7">
            <w:pPr>
              <w:rPr>
                <w:rFonts w:ascii="Calibri" w:hAnsi="Calibri"/>
                <w:color w:val="000000"/>
                <w:sz w:val="18"/>
              </w:rPr>
            </w:pPr>
          </w:p>
        </w:tc>
        <w:tc>
          <w:tcPr>
            <w:tcW w:w="1077" w:type="dxa"/>
            <w:vAlign w:val="center"/>
          </w:tcPr>
          <w:p w:rsidR="00023DC8" w:rsidRPr="001F7A12" w:rsidRDefault="00023DC8">
            <w:pPr>
              <w:rPr>
                <w:rFonts w:ascii="Calibri" w:hAnsi="Calibri"/>
                <w:color w:val="000000"/>
                <w:sz w:val="18"/>
                <w:szCs w:val="20"/>
              </w:rPr>
            </w:pPr>
            <w:r w:rsidRPr="001F7A12">
              <w:rPr>
                <w:rFonts w:ascii="Calibri" w:hAnsi="Calibri"/>
                <w:color w:val="000000"/>
                <w:sz w:val="18"/>
                <w:szCs w:val="20"/>
              </w:rPr>
              <w:t>NA</w:t>
            </w:r>
          </w:p>
        </w:tc>
        <w:tc>
          <w:tcPr>
            <w:tcW w:w="1077" w:type="dxa"/>
            <w:vAlign w:val="center"/>
          </w:tcPr>
          <w:p w:rsidR="00023DC8" w:rsidRPr="001F7A12" w:rsidRDefault="00023DC8">
            <w:pPr>
              <w:rPr>
                <w:rFonts w:ascii="Calibri" w:hAnsi="Calibri"/>
                <w:color w:val="000000"/>
                <w:sz w:val="18"/>
                <w:szCs w:val="20"/>
              </w:rPr>
            </w:pPr>
            <w:r w:rsidRPr="001F7A12">
              <w:rPr>
                <w:rFonts w:ascii="Calibri" w:hAnsi="Calibri"/>
                <w:color w:val="000000"/>
                <w:sz w:val="18"/>
                <w:szCs w:val="20"/>
              </w:rPr>
              <w:t>0.765</w:t>
            </w:r>
          </w:p>
        </w:tc>
        <w:tc>
          <w:tcPr>
            <w:tcW w:w="1077" w:type="dxa"/>
            <w:vAlign w:val="center"/>
          </w:tcPr>
          <w:p w:rsidR="00023DC8" w:rsidRPr="001F7A12" w:rsidRDefault="00023DC8">
            <w:pPr>
              <w:rPr>
                <w:rFonts w:ascii="Calibri" w:hAnsi="Calibri"/>
                <w:color w:val="000000"/>
                <w:sz w:val="18"/>
                <w:szCs w:val="20"/>
              </w:rPr>
            </w:pPr>
            <w:r w:rsidRPr="001F7A12">
              <w:rPr>
                <w:rFonts w:ascii="Calibri" w:hAnsi="Calibri"/>
                <w:color w:val="000000"/>
                <w:sz w:val="18"/>
                <w:szCs w:val="20"/>
              </w:rPr>
              <w:t>-6.773</w:t>
            </w:r>
          </w:p>
        </w:tc>
        <w:tc>
          <w:tcPr>
            <w:tcW w:w="1078" w:type="dxa"/>
            <w:vAlign w:val="center"/>
          </w:tcPr>
          <w:p w:rsidR="00023DC8" w:rsidRPr="001F7A12" w:rsidRDefault="00023DC8">
            <w:pPr>
              <w:rPr>
                <w:rFonts w:ascii="Calibri" w:hAnsi="Calibri"/>
                <w:color w:val="000000"/>
                <w:sz w:val="18"/>
                <w:szCs w:val="20"/>
              </w:rPr>
            </w:pPr>
            <w:r w:rsidRPr="005060F5">
              <w:rPr>
                <w:rFonts w:ascii="Calibri" w:hAnsi="Calibri"/>
                <w:b/>
                <w:bCs/>
                <w:color w:val="FF0000"/>
                <w:sz w:val="18"/>
                <w:szCs w:val="20"/>
              </w:rPr>
              <w:t>-8.018 *</w:t>
            </w:r>
          </w:p>
        </w:tc>
        <w:tc>
          <w:tcPr>
            <w:tcW w:w="236" w:type="dxa"/>
          </w:tcPr>
          <w:p w:rsidR="00023DC8" w:rsidRPr="00ED504D" w:rsidRDefault="00023DC8" w:rsidP="00C85BA7">
            <w:pPr>
              <w:rPr>
                <w:rFonts w:ascii="Calibri" w:hAnsi="Calibri"/>
                <w:color w:val="000000"/>
                <w:sz w:val="18"/>
              </w:rPr>
            </w:pPr>
          </w:p>
        </w:tc>
        <w:tc>
          <w:tcPr>
            <w:tcW w:w="1077" w:type="dxa"/>
            <w:vAlign w:val="center"/>
          </w:tcPr>
          <w:p w:rsidR="00023DC8" w:rsidRPr="00023DC8" w:rsidRDefault="00023DC8">
            <w:pPr>
              <w:rPr>
                <w:rFonts w:ascii="Calibri" w:hAnsi="Calibri"/>
                <w:color w:val="000000"/>
                <w:sz w:val="18"/>
                <w:szCs w:val="20"/>
              </w:rPr>
            </w:pPr>
            <w:r w:rsidRPr="00023DC8">
              <w:rPr>
                <w:rFonts w:ascii="Calibri" w:hAnsi="Calibri"/>
                <w:color w:val="000000"/>
                <w:sz w:val="18"/>
                <w:szCs w:val="20"/>
              </w:rPr>
              <w:t>NA</w:t>
            </w:r>
          </w:p>
        </w:tc>
        <w:tc>
          <w:tcPr>
            <w:tcW w:w="1077" w:type="dxa"/>
            <w:vAlign w:val="center"/>
          </w:tcPr>
          <w:p w:rsidR="00023DC8" w:rsidRPr="00023DC8" w:rsidRDefault="00023DC8">
            <w:pPr>
              <w:rPr>
                <w:rFonts w:ascii="Calibri" w:hAnsi="Calibri"/>
                <w:b/>
                <w:bCs/>
                <w:color w:val="FF0000"/>
                <w:sz w:val="18"/>
                <w:szCs w:val="20"/>
              </w:rPr>
            </w:pPr>
            <w:r w:rsidRPr="00023DC8">
              <w:rPr>
                <w:rFonts w:ascii="Calibri" w:hAnsi="Calibri"/>
                <w:b/>
                <w:bCs/>
                <w:color w:val="FF0000"/>
                <w:sz w:val="18"/>
                <w:szCs w:val="20"/>
              </w:rPr>
              <w:t>-1.799 **</w:t>
            </w:r>
          </w:p>
        </w:tc>
        <w:tc>
          <w:tcPr>
            <w:tcW w:w="1077" w:type="dxa"/>
            <w:vAlign w:val="center"/>
          </w:tcPr>
          <w:p w:rsidR="00023DC8" w:rsidRPr="00023DC8" w:rsidRDefault="00023DC8">
            <w:pPr>
              <w:rPr>
                <w:rFonts w:ascii="Calibri" w:hAnsi="Calibri"/>
                <w:color w:val="000000"/>
                <w:sz w:val="18"/>
                <w:szCs w:val="20"/>
              </w:rPr>
            </w:pPr>
            <w:r w:rsidRPr="00023DC8">
              <w:rPr>
                <w:rFonts w:ascii="Calibri" w:hAnsi="Calibri"/>
                <w:color w:val="000000"/>
                <w:sz w:val="18"/>
                <w:szCs w:val="20"/>
              </w:rPr>
              <w:t>-1.422</w:t>
            </w:r>
          </w:p>
        </w:tc>
        <w:tc>
          <w:tcPr>
            <w:tcW w:w="1078" w:type="dxa"/>
            <w:gridSpan w:val="2"/>
            <w:vAlign w:val="center"/>
          </w:tcPr>
          <w:p w:rsidR="00023DC8" w:rsidRPr="00023DC8" w:rsidRDefault="00023DC8">
            <w:pPr>
              <w:rPr>
                <w:rFonts w:ascii="Calibri" w:hAnsi="Calibri"/>
                <w:color w:val="000000"/>
                <w:sz w:val="18"/>
                <w:szCs w:val="20"/>
              </w:rPr>
            </w:pPr>
            <w:r w:rsidRPr="00023DC8">
              <w:rPr>
                <w:rFonts w:ascii="Calibri" w:hAnsi="Calibri"/>
                <w:color w:val="000000"/>
                <w:sz w:val="18"/>
                <w:szCs w:val="20"/>
              </w:rPr>
              <w:t>-0.968</w:t>
            </w:r>
          </w:p>
        </w:tc>
      </w:tr>
      <w:tr w:rsidR="00023DC8" w:rsidRPr="00ED504D" w:rsidTr="006C43BF">
        <w:trPr>
          <w:trHeight w:val="254"/>
          <w:jc w:val="center"/>
        </w:trPr>
        <w:tc>
          <w:tcPr>
            <w:tcW w:w="1134" w:type="dxa"/>
            <w:vMerge/>
            <w:vAlign w:val="center"/>
          </w:tcPr>
          <w:p w:rsidR="00023DC8" w:rsidRPr="00ED504D" w:rsidRDefault="00023DC8" w:rsidP="00C85BA7">
            <w:pPr>
              <w:rPr>
                <w:rFonts w:ascii="Calibri" w:hAnsi="Calibri"/>
                <w:color w:val="000000"/>
                <w:sz w:val="18"/>
                <w:szCs w:val="20"/>
              </w:rPr>
            </w:pPr>
          </w:p>
        </w:tc>
        <w:tc>
          <w:tcPr>
            <w:tcW w:w="236" w:type="dxa"/>
          </w:tcPr>
          <w:p w:rsidR="00023DC8" w:rsidRPr="00ED504D" w:rsidRDefault="00023DC8" w:rsidP="00C85BA7">
            <w:pPr>
              <w:jc w:val="center"/>
              <w:rPr>
                <w:sz w:val="18"/>
                <w:szCs w:val="20"/>
              </w:rPr>
            </w:pPr>
          </w:p>
        </w:tc>
        <w:tc>
          <w:tcPr>
            <w:tcW w:w="1077" w:type="dxa"/>
            <w:vAlign w:val="center"/>
          </w:tcPr>
          <w:p w:rsidR="00023DC8" w:rsidRPr="001F7A12" w:rsidRDefault="00023DC8">
            <w:pPr>
              <w:jc w:val="right"/>
              <w:rPr>
                <w:rFonts w:ascii="Calibri" w:hAnsi="Calibri"/>
                <w:color w:val="000000"/>
                <w:sz w:val="20"/>
                <w:szCs w:val="18"/>
              </w:rPr>
            </w:pPr>
            <w:r w:rsidRPr="001F7A12">
              <w:rPr>
                <w:rFonts w:ascii="Calibri" w:hAnsi="Calibri"/>
                <w:color w:val="000000"/>
                <w:sz w:val="20"/>
                <w:szCs w:val="18"/>
              </w:rPr>
              <w:t>NA</w:t>
            </w:r>
          </w:p>
        </w:tc>
        <w:tc>
          <w:tcPr>
            <w:tcW w:w="1077" w:type="dxa"/>
            <w:vAlign w:val="center"/>
          </w:tcPr>
          <w:p w:rsidR="00023DC8" w:rsidRPr="001F7A12" w:rsidRDefault="00023DC8">
            <w:pPr>
              <w:jc w:val="right"/>
              <w:rPr>
                <w:rFonts w:ascii="Calibri" w:hAnsi="Calibri"/>
                <w:color w:val="000000"/>
                <w:sz w:val="20"/>
                <w:szCs w:val="18"/>
              </w:rPr>
            </w:pPr>
            <w:r w:rsidRPr="001F7A12">
              <w:rPr>
                <w:rFonts w:ascii="Calibri" w:hAnsi="Calibri"/>
                <w:color w:val="000000"/>
                <w:sz w:val="20"/>
                <w:szCs w:val="18"/>
              </w:rPr>
              <w:t>2.19%</w:t>
            </w:r>
          </w:p>
        </w:tc>
        <w:tc>
          <w:tcPr>
            <w:tcW w:w="1077" w:type="dxa"/>
            <w:vAlign w:val="center"/>
          </w:tcPr>
          <w:p w:rsidR="00023DC8" w:rsidRPr="001F7A12" w:rsidRDefault="00023DC8">
            <w:pPr>
              <w:jc w:val="right"/>
              <w:rPr>
                <w:rFonts w:ascii="Calibri" w:hAnsi="Calibri"/>
                <w:color w:val="000000"/>
                <w:sz w:val="20"/>
                <w:szCs w:val="18"/>
              </w:rPr>
            </w:pPr>
            <w:r w:rsidRPr="001F7A12">
              <w:rPr>
                <w:rFonts w:ascii="Calibri" w:hAnsi="Calibri"/>
                <w:color w:val="000000"/>
                <w:sz w:val="20"/>
                <w:szCs w:val="18"/>
              </w:rPr>
              <w:t>0.04%</w:t>
            </w:r>
          </w:p>
        </w:tc>
        <w:tc>
          <w:tcPr>
            <w:tcW w:w="1078" w:type="dxa"/>
            <w:vAlign w:val="center"/>
          </w:tcPr>
          <w:p w:rsidR="00023DC8" w:rsidRPr="001F7A12" w:rsidRDefault="00023DC8">
            <w:pPr>
              <w:jc w:val="right"/>
              <w:rPr>
                <w:rFonts w:ascii="Calibri" w:hAnsi="Calibri"/>
                <w:color w:val="000000"/>
                <w:sz w:val="20"/>
                <w:szCs w:val="18"/>
              </w:rPr>
            </w:pPr>
            <w:r w:rsidRPr="001F7A12">
              <w:rPr>
                <w:rFonts w:ascii="Calibri" w:hAnsi="Calibri"/>
                <w:color w:val="000000"/>
                <w:sz w:val="20"/>
                <w:szCs w:val="18"/>
              </w:rPr>
              <w:t>0.07%</w:t>
            </w:r>
          </w:p>
        </w:tc>
        <w:tc>
          <w:tcPr>
            <w:tcW w:w="236" w:type="dxa"/>
          </w:tcPr>
          <w:p w:rsidR="00023DC8" w:rsidRPr="006B31B1" w:rsidRDefault="00023DC8" w:rsidP="00C85BA7">
            <w:pPr>
              <w:rPr>
                <w:rFonts w:ascii="Calibri" w:hAnsi="Calibri"/>
                <w:color w:val="000000"/>
                <w:sz w:val="18"/>
              </w:rPr>
            </w:pPr>
          </w:p>
        </w:tc>
        <w:tc>
          <w:tcPr>
            <w:tcW w:w="1077" w:type="dxa"/>
            <w:vAlign w:val="center"/>
          </w:tcPr>
          <w:p w:rsidR="00023DC8" w:rsidRPr="001F7A12" w:rsidRDefault="00023DC8">
            <w:pPr>
              <w:jc w:val="right"/>
              <w:rPr>
                <w:rFonts w:ascii="Calibri" w:hAnsi="Calibri"/>
                <w:color w:val="000000"/>
                <w:sz w:val="18"/>
                <w:szCs w:val="18"/>
              </w:rPr>
            </w:pPr>
            <w:r w:rsidRPr="001F7A12">
              <w:rPr>
                <w:rFonts w:ascii="Calibri" w:hAnsi="Calibri"/>
                <w:color w:val="000000"/>
                <w:sz w:val="18"/>
                <w:szCs w:val="18"/>
              </w:rPr>
              <w:t>NA</w:t>
            </w:r>
          </w:p>
        </w:tc>
        <w:tc>
          <w:tcPr>
            <w:tcW w:w="1077" w:type="dxa"/>
            <w:vAlign w:val="center"/>
          </w:tcPr>
          <w:p w:rsidR="00023DC8" w:rsidRPr="001F7A12" w:rsidRDefault="00023DC8">
            <w:pPr>
              <w:jc w:val="right"/>
              <w:rPr>
                <w:rFonts w:ascii="Calibri" w:hAnsi="Calibri"/>
                <w:color w:val="000000"/>
                <w:sz w:val="18"/>
                <w:szCs w:val="18"/>
              </w:rPr>
            </w:pPr>
            <w:r w:rsidRPr="001F7A12">
              <w:rPr>
                <w:rFonts w:ascii="Calibri" w:hAnsi="Calibri"/>
                <w:color w:val="000000"/>
                <w:sz w:val="18"/>
                <w:szCs w:val="18"/>
              </w:rPr>
              <w:t>0.10%</w:t>
            </w:r>
          </w:p>
        </w:tc>
        <w:tc>
          <w:tcPr>
            <w:tcW w:w="1077" w:type="dxa"/>
            <w:vAlign w:val="center"/>
          </w:tcPr>
          <w:p w:rsidR="00023DC8" w:rsidRPr="001F7A12" w:rsidRDefault="00023DC8">
            <w:pPr>
              <w:jc w:val="right"/>
              <w:rPr>
                <w:rFonts w:ascii="Calibri" w:hAnsi="Calibri"/>
                <w:color w:val="000000"/>
                <w:sz w:val="18"/>
                <w:szCs w:val="18"/>
              </w:rPr>
            </w:pPr>
            <w:r w:rsidRPr="001F7A12">
              <w:rPr>
                <w:rFonts w:ascii="Calibri" w:hAnsi="Calibri"/>
                <w:color w:val="000000"/>
                <w:sz w:val="18"/>
                <w:szCs w:val="18"/>
              </w:rPr>
              <w:t>0.07%</w:t>
            </w:r>
          </w:p>
        </w:tc>
        <w:tc>
          <w:tcPr>
            <w:tcW w:w="1078" w:type="dxa"/>
            <w:vAlign w:val="center"/>
          </w:tcPr>
          <w:p w:rsidR="00023DC8" w:rsidRPr="001F7A12" w:rsidRDefault="00023DC8">
            <w:pPr>
              <w:jc w:val="right"/>
              <w:rPr>
                <w:rFonts w:ascii="Calibri" w:hAnsi="Calibri"/>
                <w:color w:val="000000"/>
                <w:sz w:val="18"/>
                <w:szCs w:val="18"/>
              </w:rPr>
            </w:pPr>
            <w:r w:rsidRPr="001F7A12">
              <w:rPr>
                <w:rFonts w:ascii="Calibri" w:hAnsi="Calibri"/>
                <w:color w:val="000000"/>
                <w:sz w:val="18"/>
                <w:szCs w:val="18"/>
              </w:rPr>
              <w:t>0.36%</w:t>
            </w:r>
          </w:p>
        </w:tc>
        <w:tc>
          <w:tcPr>
            <w:tcW w:w="236" w:type="dxa"/>
          </w:tcPr>
          <w:p w:rsidR="00023DC8" w:rsidRPr="006B31B1" w:rsidRDefault="00023DC8" w:rsidP="00C85BA7">
            <w:pPr>
              <w:rPr>
                <w:rFonts w:ascii="Calibri" w:hAnsi="Calibri"/>
                <w:color w:val="000000"/>
                <w:sz w:val="18"/>
              </w:rPr>
            </w:pPr>
          </w:p>
        </w:tc>
        <w:tc>
          <w:tcPr>
            <w:tcW w:w="1077" w:type="dxa"/>
            <w:vAlign w:val="center"/>
          </w:tcPr>
          <w:p w:rsidR="00023DC8" w:rsidRPr="00023DC8" w:rsidRDefault="00023DC8">
            <w:pPr>
              <w:jc w:val="right"/>
              <w:rPr>
                <w:rFonts w:ascii="Calibri" w:hAnsi="Calibri"/>
                <w:color w:val="000000"/>
                <w:sz w:val="18"/>
                <w:szCs w:val="18"/>
              </w:rPr>
            </w:pPr>
            <w:r w:rsidRPr="00023DC8">
              <w:rPr>
                <w:rFonts w:ascii="Calibri" w:hAnsi="Calibri"/>
                <w:color w:val="000000"/>
                <w:sz w:val="18"/>
                <w:szCs w:val="18"/>
              </w:rPr>
              <w:t>NA</w:t>
            </w:r>
          </w:p>
        </w:tc>
        <w:tc>
          <w:tcPr>
            <w:tcW w:w="1077" w:type="dxa"/>
            <w:vAlign w:val="center"/>
          </w:tcPr>
          <w:p w:rsidR="00023DC8" w:rsidRPr="00023DC8" w:rsidRDefault="00023DC8">
            <w:pPr>
              <w:jc w:val="right"/>
              <w:rPr>
                <w:rFonts w:ascii="Calibri" w:hAnsi="Calibri"/>
                <w:color w:val="000000"/>
                <w:sz w:val="18"/>
                <w:szCs w:val="18"/>
              </w:rPr>
            </w:pPr>
            <w:r w:rsidRPr="00023DC8">
              <w:rPr>
                <w:rFonts w:ascii="Calibri" w:hAnsi="Calibri"/>
                <w:color w:val="000000"/>
                <w:sz w:val="18"/>
                <w:szCs w:val="18"/>
              </w:rPr>
              <w:t>1.48%</w:t>
            </w:r>
          </w:p>
        </w:tc>
        <w:tc>
          <w:tcPr>
            <w:tcW w:w="1077" w:type="dxa"/>
            <w:vAlign w:val="center"/>
          </w:tcPr>
          <w:p w:rsidR="00023DC8" w:rsidRPr="00023DC8" w:rsidRDefault="00023DC8">
            <w:pPr>
              <w:jc w:val="right"/>
              <w:rPr>
                <w:rFonts w:ascii="Calibri" w:hAnsi="Calibri"/>
                <w:color w:val="000000"/>
                <w:sz w:val="18"/>
                <w:szCs w:val="18"/>
              </w:rPr>
            </w:pPr>
            <w:r w:rsidRPr="00023DC8">
              <w:rPr>
                <w:rFonts w:ascii="Calibri" w:hAnsi="Calibri"/>
                <w:color w:val="000000"/>
                <w:sz w:val="18"/>
                <w:szCs w:val="18"/>
              </w:rPr>
              <w:t>0.07%</w:t>
            </w:r>
          </w:p>
        </w:tc>
        <w:tc>
          <w:tcPr>
            <w:tcW w:w="1078" w:type="dxa"/>
            <w:gridSpan w:val="2"/>
            <w:vAlign w:val="center"/>
          </w:tcPr>
          <w:p w:rsidR="00023DC8" w:rsidRPr="00023DC8" w:rsidRDefault="00023DC8">
            <w:pPr>
              <w:jc w:val="right"/>
              <w:rPr>
                <w:rFonts w:ascii="Calibri" w:hAnsi="Calibri"/>
                <w:color w:val="000000"/>
                <w:sz w:val="18"/>
                <w:szCs w:val="18"/>
              </w:rPr>
            </w:pPr>
            <w:r w:rsidRPr="00023DC8">
              <w:rPr>
                <w:rFonts w:ascii="Calibri" w:hAnsi="Calibri"/>
                <w:color w:val="000000"/>
                <w:sz w:val="18"/>
                <w:szCs w:val="18"/>
              </w:rPr>
              <w:t>-0.01%</w:t>
            </w:r>
          </w:p>
        </w:tc>
      </w:tr>
      <w:tr w:rsidR="00023DC8" w:rsidRPr="00ED504D" w:rsidTr="006C43BF">
        <w:trPr>
          <w:trHeight w:val="254"/>
          <w:jc w:val="center"/>
        </w:trPr>
        <w:tc>
          <w:tcPr>
            <w:tcW w:w="1134" w:type="dxa"/>
            <w:vMerge w:val="restart"/>
            <w:vAlign w:val="center"/>
          </w:tcPr>
          <w:p w:rsidR="00023DC8" w:rsidRPr="00ED504D" w:rsidRDefault="00023DC8" w:rsidP="00C85BA7">
            <w:pPr>
              <w:rPr>
                <w:rFonts w:ascii="Calibri" w:hAnsi="Calibri"/>
                <w:color w:val="000000"/>
                <w:sz w:val="18"/>
                <w:szCs w:val="20"/>
              </w:rPr>
            </w:pPr>
            <w:r w:rsidRPr="00ED504D">
              <w:rPr>
                <w:rFonts w:ascii="Calibri" w:hAnsi="Calibri"/>
                <w:color w:val="000000"/>
                <w:sz w:val="18"/>
                <w:szCs w:val="20"/>
              </w:rPr>
              <w:t>Greece</w:t>
            </w:r>
          </w:p>
        </w:tc>
        <w:tc>
          <w:tcPr>
            <w:tcW w:w="236" w:type="dxa"/>
          </w:tcPr>
          <w:p w:rsidR="00023DC8" w:rsidRPr="00ED504D" w:rsidRDefault="00023DC8" w:rsidP="00C85BA7">
            <w:pPr>
              <w:jc w:val="center"/>
              <w:rPr>
                <w:sz w:val="18"/>
                <w:szCs w:val="20"/>
              </w:rPr>
            </w:pPr>
          </w:p>
        </w:tc>
        <w:tc>
          <w:tcPr>
            <w:tcW w:w="1077" w:type="dxa"/>
            <w:vAlign w:val="center"/>
          </w:tcPr>
          <w:p w:rsidR="00023DC8" w:rsidRPr="001F7A12" w:rsidRDefault="00023DC8">
            <w:pPr>
              <w:rPr>
                <w:rFonts w:ascii="Calibri" w:hAnsi="Calibri"/>
                <w:b/>
                <w:bCs/>
                <w:color w:val="548DD4"/>
                <w:sz w:val="20"/>
              </w:rPr>
            </w:pPr>
            <w:r w:rsidRPr="001F7A12">
              <w:rPr>
                <w:rFonts w:ascii="Calibri" w:hAnsi="Calibri"/>
                <w:b/>
                <w:bCs/>
                <w:color w:val="548DD4"/>
                <w:sz w:val="20"/>
              </w:rPr>
              <w:t>3.661 ***</w:t>
            </w:r>
          </w:p>
        </w:tc>
        <w:tc>
          <w:tcPr>
            <w:tcW w:w="1077" w:type="dxa"/>
            <w:vAlign w:val="center"/>
          </w:tcPr>
          <w:p w:rsidR="00023DC8" w:rsidRPr="001F7A12" w:rsidRDefault="00023DC8">
            <w:pPr>
              <w:rPr>
                <w:rFonts w:ascii="Calibri" w:hAnsi="Calibri"/>
                <w:b/>
                <w:bCs/>
                <w:color w:val="548DD4"/>
                <w:sz w:val="20"/>
              </w:rPr>
            </w:pPr>
            <w:r w:rsidRPr="001F7A12">
              <w:rPr>
                <w:rFonts w:ascii="Calibri" w:hAnsi="Calibri"/>
                <w:b/>
                <w:bCs/>
                <w:color w:val="548DD4"/>
                <w:sz w:val="20"/>
              </w:rPr>
              <w:t>0.979 ***</w:t>
            </w:r>
          </w:p>
        </w:tc>
        <w:tc>
          <w:tcPr>
            <w:tcW w:w="1077" w:type="dxa"/>
            <w:vAlign w:val="center"/>
          </w:tcPr>
          <w:p w:rsidR="00023DC8" w:rsidRPr="001F7A12" w:rsidRDefault="00023DC8">
            <w:pPr>
              <w:rPr>
                <w:rFonts w:ascii="Calibri" w:hAnsi="Calibri"/>
                <w:color w:val="000000"/>
                <w:sz w:val="20"/>
              </w:rPr>
            </w:pPr>
            <w:r w:rsidRPr="001F7A12">
              <w:rPr>
                <w:rFonts w:ascii="Calibri" w:hAnsi="Calibri"/>
                <w:color w:val="000000"/>
                <w:sz w:val="20"/>
              </w:rPr>
              <w:t>-1.100</w:t>
            </w:r>
          </w:p>
        </w:tc>
        <w:tc>
          <w:tcPr>
            <w:tcW w:w="1078" w:type="dxa"/>
            <w:vAlign w:val="center"/>
          </w:tcPr>
          <w:p w:rsidR="00023DC8" w:rsidRPr="001F7A12" w:rsidRDefault="00023DC8">
            <w:pPr>
              <w:rPr>
                <w:rFonts w:ascii="Calibri" w:hAnsi="Calibri"/>
                <w:color w:val="000000"/>
                <w:sz w:val="20"/>
              </w:rPr>
            </w:pPr>
            <w:r w:rsidRPr="001F7A12">
              <w:rPr>
                <w:rFonts w:ascii="Calibri" w:hAnsi="Calibri"/>
                <w:color w:val="000000"/>
                <w:sz w:val="20"/>
              </w:rPr>
              <w:t>NA</w:t>
            </w:r>
          </w:p>
        </w:tc>
        <w:tc>
          <w:tcPr>
            <w:tcW w:w="236" w:type="dxa"/>
          </w:tcPr>
          <w:p w:rsidR="00023DC8" w:rsidRPr="00ED504D" w:rsidRDefault="00023DC8" w:rsidP="00C85BA7">
            <w:pPr>
              <w:rPr>
                <w:rFonts w:ascii="Calibri" w:hAnsi="Calibri"/>
                <w:color w:val="000000"/>
                <w:sz w:val="18"/>
              </w:rPr>
            </w:pPr>
          </w:p>
        </w:tc>
        <w:tc>
          <w:tcPr>
            <w:tcW w:w="1077" w:type="dxa"/>
            <w:vAlign w:val="center"/>
          </w:tcPr>
          <w:p w:rsidR="00023DC8" w:rsidRPr="001F7A12" w:rsidRDefault="00023DC8">
            <w:pPr>
              <w:rPr>
                <w:rFonts w:ascii="Calibri" w:hAnsi="Calibri"/>
                <w:b/>
                <w:bCs/>
                <w:color w:val="FF0000"/>
                <w:sz w:val="18"/>
                <w:szCs w:val="20"/>
              </w:rPr>
            </w:pPr>
            <w:r w:rsidRPr="001F7A12">
              <w:rPr>
                <w:rFonts w:ascii="Calibri" w:hAnsi="Calibri"/>
                <w:b/>
                <w:bCs/>
                <w:color w:val="FF0000"/>
                <w:sz w:val="18"/>
                <w:szCs w:val="20"/>
              </w:rPr>
              <w:t>-3.379 ***</w:t>
            </w:r>
          </w:p>
        </w:tc>
        <w:tc>
          <w:tcPr>
            <w:tcW w:w="1077" w:type="dxa"/>
            <w:vAlign w:val="center"/>
          </w:tcPr>
          <w:p w:rsidR="00023DC8" w:rsidRPr="001F7A12" w:rsidRDefault="00023DC8">
            <w:pPr>
              <w:rPr>
                <w:rFonts w:ascii="Calibri" w:hAnsi="Calibri"/>
                <w:color w:val="000000"/>
                <w:sz w:val="18"/>
                <w:szCs w:val="20"/>
              </w:rPr>
            </w:pPr>
            <w:r w:rsidRPr="001F7A12">
              <w:rPr>
                <w:rFonts w:ascii="Calibri" w:hAnsi="Calibri"/>
                <w:color w:val="000000"/>
                <w:sz w:val="18"/>
                <w:szCs w:val="20"/>
              </w:rPr>
              <w:t>0.138</w:t>
            </w:r>
          </w:p>
        </w:tc>
        <w:tc>
          <w:tcPr>
            <w:tcW w:w="1077" w:type="dxa"/>
            <w:vAlign w:val="center"/>
          </w:tcPr>
          <w:p w:rsidR="00023DC8" w:rsidRPr="001F7A12" w:rsidRDefault="00023DC8">
            <w:pPr>
              <w:rPr>
                <w:rFonts w:ascii="Calibri" w:hAnsi="Calibri"/>
                <w:color w:val="000000"/>
                <w:sz w:val="18"/>
                <w:szCs w:val="20"/>
              </w:rPr>
            </w:pPr>
            <w:r w:rsidRPr="001F7A12">
              <w:rPr>
                <w:rFonts w:ascii="Calibri" w:hAnsi="Calibri"/>
                <w:color w:val="000000"/>
                <w:sz w:val="18"/>
                <w:szCs w:val="20"/>
              </w:rPr>
              <w:t>2.170</w:t>
            </w:r>
          </w:p>
        </w:tc>
        <w:tc>
          <w:tcPr>
            <w:tcW w:w="1078" w:type="dxa"/>
            <w:vAlign w:val="center"/>
          </w:tcPr>
          <w:p w:rsidR="00023DC8" w:rsidRPr="001F7A12" w:rsidRDefault="00023DC8">
            <w:pPr>
              <w:rPr>
                <w:rFonts w:ascii="Calibri" w:hAnsi="Calibri"/>
                <w:color w:val="000000"/>
                <w:sz w:val="18"/>
                <w:szCs w:val="20"/>
              </w:rPr>
            </w:pPr>
            <w:r w:rsidRPr="001F7A12">
              <w:rPr>
                <w:rFonts w:ascii="Calibri" w:hAnsi="Calibri"/>
                <w:color w:val="000000"/>
                <w:sz w:val="18"/>
                <w:szCs w:val="20"/>
              </w:rPr>
              <w:t>NA</w:t>
            </w:r>
          </w:p>
        </w:tc>
        <w:tc>
          <w:tcPr>
            <w:tcW w:w="236" w:type="dxa"/>
          </w:tcPr>
          <w:p w:rsidR="00023DC8" w:rsidRPr="00ED504D" w:rsidRDefault="00023DC8" w:rsidP="00C85BA7">
            <w:pPr>
              <w:rPr>
                <w:rFonts w:ascii="Calibri" w:hAnsi="Calibri"/>
                <w:color w:val="000000"/>
                <w:sz w:val="18"/>
              </w:rPr>
            </w:pPr>
          </w:p>
        </w:tc>
        <w:tc>
          <w:tcPr>
            <w:tcW w:w="1077" w:type="dxa"/>
            <w:vAlign w:val="center"/>
          </w:tcPr>
          <w:p w:rsidR="00023DC8" w:rsidRPr="00023DC8" w:rsidRDefault="00023DC8">
            <w:pPr>
              <w:rPr>
                <w:rFonts w:ascii="Calibri" w:hAnsi="Calibri"/>
                <w:b/>
                <w:bCs/>
                <w:color w:val="FF0000"/>
                <w:sz w:val="18"/>
                <w:szCs w:val="20"/>
              </w:rPr>
            </w:pPr>
            <w:r w:rsidRPr="00023DC8">
              <w:rPr>
                <w:rFonts w:ascii="Calibri" w:hAnsi="Calibri"/>
                <w:b/>
                <w:bCs/>
                <w:color w:val="FF0000"/>
                <w:sz w:val="18"/>
                <w:szCs w:val="20"/>
              </w:rPr>
              <w:t>-5.243 ***</w:t>
            </w:r>
          </w:p>
        </w:tc>
        <w:tc>
          <w:tcPr>
            <w:tcW w:w="1077" w:type="dxa"/>
            <w:vAlign w:val="center"/>
          </w:tcPr>
          <w:p w:rsidR="00023DC8" w:rsidRPr="00023DC8" w:rsidRDefault="00023DC8">
            <w:pPr>
              <w:rPr>
                <w:rFonts w:ascii="Calibri" w:hAnsi="Calibri"/>
                <w:b/>
                <w:bCs/>
                <w:color w:val="FF0000"/>
                <w:sz w:val="18"/>
                <w:szCs w:val="20"/>
              </w:rPr>
            </w:pPr>
            <w:r w:rsidRPr="00023DC8">
              <w:rPr>
                <w:rFonts w:ascii="Calibri" w:hAnsi="Calibri"/>
                <w:b/>
                <w:bCs/>
                <w:color w:val="FF0000"/>
                <w:sz w:val="18"/>
                <w:szCs w:val="20"/>
              </w:rPr>
              <w:t>-1.088 **</w:t>
            </w:r>
          </w:p>
        </w:tc>
        <w:tc>
          <w:tcPr>
            <w:tcW w:w="1077" w:type="dxa"/>
            <w:vAlign w:val="center"/>
          </w:tcPr>
          <w:p w:rsidR="00023DC8" w:rsidRPr="00023DC8" w:rsidRDefault="00023DC8">
            <w:pPr>
              <w:rPr>
                <w:rFonts w:ascii="Calibri" w:hAnsi="Calibri"/>
                <w:color w:val="000000"/>
                <w:sz w:val="18"/>
                <w:szCs w:val="20"/>
              </w:rPr>
            </w:pPr>
            <w:r w:rsidRPr="00023DC8">
              <w:rPr>
                <w:rFonts w:ascii="Calibri" w:hAnsi="Calibri"/>
                <w:color w:val="000000"/>
                <w:sz w:val="18"/>
                <w:szCs w:val="20"/>
              </w:rPr>
              <w:t>1.518</w:t>
            </w:r>
          </w:p>
        </w:tc>
        <w:tc>
          <w:tcPr>
            <w:tcW w:w="1078" w:type="dxa"/>
            <w:gridSpan w:val="2"/>
            <w:vAlign w:val="center"/>
          </w:tcPr>
          <w:p w:rsidR="00023DC8" w:rsidRPr="00023DC8" w:rsidRDefault="00023DC8">
            <w:pPr>
              <w:rPr>
                <w:rFonts w:ascii="Calibri" w:hAnsi="Calibri"/>
                <w:color w:val="000000"/>
                <w:sz w:val="18"/>
                <w:szCs w:val="20"/>
              </w:rPr>
            </w:pPr>
            <w:r w:rsidRPr="00023DC8">
              <w:rPr>
                <w:rFonts w:ascii="Calibri" w:hAnsi="Calibri"/>
                <w:color w:val="000000"/>
                <w:sz w:val="18"/>
                <w:szCs w:val="20"/>
              </w:rPr>
              <w:t>NA</w:t>
            </w:r>
          </w:p>
        </w:tc>
      </w:tr>
      <w:tr w:rsidR="00023DC8" w:rsidRPr="00ED504D" w:rsidTr="006C43BF">
        <w:trPr>
          <w:trHeight w:val="254"/>
          <w:jc w:val="center"/>
        </w:trPr>
        <w:tc>
          <w:tcPr>
            <w:tcW w:w="1134" w:type="dxa"/>
            <w:vMerge/>
            <w:tcBorders>
              <w:bottom w:val="single" w:sz="4" w:space="0" w:color="auto"/>
            </w:tcBorders>
            <w:vAlign w:val="center"/>
          </w:tcPr>
          <w:p w:rsidR="00023DC8" w:rsidRPr="00ED504D" w:rsidRDefault="00023DC8" w:rsidP="00C85BA7">
            <w:pPr>
              <w:rPr>
                <w:rFonts w:ascii="Calibri" w:hAnsi="Calibri"/>
                <w:color w:val="000000"/>
                <w:sz w:val="18"/>
                <w:szCs w:val="20"/>
              </w:rPr>
            </w:pPr>
          </w:p>
        </w:tc>
        <w:tc>
          <w:tcPr>
            <w:tcW w:w="236" w:type="dxa"/>
            <w:tcBorders>
              <w:bottom w:val="single" w:sz="4" w:space="0" w:color="auto"/>
            </w:tcBorders>
          </w:tcPr>
          <w:p w:rsidR="00023DC8" w:rsidRPr="00ED504D" w:rsidRDefault="00023DC8" w:rsidP="00C85BA7">
            <w:pPr>
              <w:jc w:val="center"/>
              <w:rPr>
                <w:sz w:val="18"/>
                <w:szCs w:val="20"/>
              </w:rPr>
            </w:pPr>
          </w:p>
        </w:tc>
        <w:tc>
          <w:tcPr>
            <w:tcW w:w="1077" w:type="dxa"/>
            <w:tcBorders>
              <w:bottom w:val="single" w:sz="4" w:space="0" w:color="auto"/>
            </w:tcBorders>
            <w:vAlign w:val="center"/>
          </w:tcPr>
          <w:p w:rsidR="00023DC8" w:rsidRPr="001F7A12" w:rsidRDefault="00023DC8">
            <w:pPr>
              <w:jc w:val="right"/>
              <w:rPr>
                <w:rFonts w:ascii="Calibri" w:hAnsi="Calibri"/>
                <w:color w:val="000000"/>
                <w:sz w:val="20"/>
                <w:szCs w:val="18"/>
              </w:rPr>
            </w:pPr>
            <w:r w:rsidRPr="001F7A12">
              <w:rPr>
                <w:rFonts w:ascii="Calibri" w:hAnsi="Calibri"/>
                <w:color w:val="000000"/>
                <w:sz w:val="20"/>
                <w:szCs w:val="18"/>
              </w:rPr>
              <w:t>3.09%</w:t>
            </w:r>
          </w:p>
        </w:tc>
        <w:tc>
          <w:tcPr>
            <w:tcW w:w="1077" w:type="dxa"/>
            <w:tcBorders>
              <w:bottom w:val="single" w:sz="4" w:space="0" w:color="auto"/>
            </w:tcBorders>
            <w:vAlign w:val="center"/>
          </w:tcPr>
          <w:p w:rsidR="00023DC8" w:rsidRPr="001F7A12" w:rsidRDefault="00023DC8">
            <w:pPr>
              <w:jc w:val="right"/>
              <w:rPr>
                <w:rFonts w:ascii="Calibri" w:hAnsi="Calibri"/>
                <w:color w:val="000000"/>
                <w:sz w:val="20"/>
                <w:szCs w:val="18"/>
              </w:rPr>
            </w:pPr>
            <w:r w:rsidRPr="001F7A12">
              <w:rPr>
                <w:rFonts w:ascii="Calibri" w:hAnsi="Calibri"/>
                <w:color w:val="000000"/>
                <w:sz w:val="20"/>
                <w:szCs w:val="18"/>
              </w:rPr>
              <w:t>0.55%</w:t>
            </w:r>
          </w:p>
        </w:tc>
        <w:tc>
          <w:tcPr>
            <w:tcW w:w="1077" w:type="dxa"/>
            <w:tcBorders>
              <w:bottom w:val="single" w:sz="4" w:space="0" w:color="auto"/>
            </w:tcBorders>
            <w:vAlign w:val="center"/>
          </w:tcPr>
          <w:p w:rsidR="00023DC8" w:rsidRPr="001F7A12" w:rsidRDefault="00023DC8">
            <w:pPr>
              <w:jc w:val="right"/>
              <w:rPr>
                <w:rFonts w:ascii="Calibri" w:hAnsi="Calibri"/>
                <w:color w:val="000000"/>
                <w:sz w:val="20"/>
                <w:szCs w:val="18"/>
              </w:rPr>
            </w:pPr>
            <w:r w:rsidRPr="001F7A12">
              <w:rPr>
                <w:rFonts w:ascii="Calibri" w:hAnsi="Calibri"/>
                <w:color w:val="000000"/>
                <w:sz w:val="20"/>
                <w:szCs w:val="18"/>
              </w:rPr>
              <w:t>0.01%</w:t>
            </w:r>
          </w:p>
        </w:tc>
        <w:tc>
          <w:tcPr>
            <w:tcW w:w="1078" w:type="dxa"/>
            <w:tcBorders>
              <w:bottom w:val="single" w:sz="4" w:space="0" w:color="auto"/>
            </w:tcBorders>
            <w:vAlign w:val="center"/>
          </w:tcPr>
          <w:p w:rsidR="00023DC8" w:rsidRPr="001F7A12" w:rsidRDefault="00023DC8">
            <w:pPr>
              <w:jc w:val="right"/>
              <w:rPr>
                <w:rFonts w:ascii="Calibri" w:hAnsi="Calibri"/>
                <w:color w:val="000000"/>
                <w:sz w:val="20"/>
                <w:szCs w:val="18"/>
              </w:rPr>
            </w:pPr>
            <w:r w:rsidRPr="001F7A12">
              <w:rPr>
                <w:rFonts w:ascii="Calibri" w:hAnsi="Calibri"/>
                <w:color w:val="000000"/>
                <w:sz w:val="20"/>
                <w:szCs w:val="18"/>
              </w:rPr>
              <w:t>NA</w:t>
            </w:r>
          </w:p>
        </w:tc>
        <w:tc>
          <w:tcPr>
            <w:tcW w:w="236" w:type="dxa"/>
            <w:tcBorders>
              <w:bottom w:val="single" w:sz="4" w:space="0" w:color="auto"/>
            </w:tcBorders>
          </w:tcPr>
          <w:p w:rsidR="00023DC8" w:rsidRPr="006B31B1" w:rsidRDefault="00023DC8" w:rsidP="00C85BA7">
            <w:pPr>
              <w:rPr>
                <w:rFonts w:ascii="Calibri" w:hAnsi="Calibri"/>
                <w:color w:val="000000"/>
                <w:sz w:val="18"/>
              </w:rPr>
            </w:pPr>
          </w:p>
        </w:tc>
        <w:tc>
          <w:tcPr>
            <w:tcW w:w="1077" w:type="dxa"/>
            <w:tcBorders>
              <w:bottom w:val="single" w:sz="4" w:space="0" w:color="auto"/>
            </w:tcBorders>
            <w:vAlign w:val="center"/>
          </w:tcPr>
          <w:p w:rsidR="00023DC8" w:rsidRPr="001F7A12" w:rsidRDefault="00023DC8">
            <w:pPr>
              <w:jc w:val="right"/>
              <w:rPr>
                <w:rFonts w:ascii="Calibri" w:hAnsi="Calibri"/>
                <w:color w:val="000000"/>
                <w:sz w:val="18"/>
                <w:szCs w:val="18"/>
              </w:rPr>
            </w:pPr>
            <w:r w:rsidRPr="001F7A12">
              <w:rPr>
                <w:rFonts w:ascii="Calibri" w:hAnsi="Calibri"/>
                <w:color w:val="000000"/>
                <w:sz w:val="18"/>
                <w:szCs w:val="18"/>
              </w:rPr>
              <w:t>0.79%</w:t>
            </w:r>
          </w:p>
        </w:tc>
        <w:tc>
          <w:tcPr>
            <w:tcW w:w="1077" w:type="dxa"/>
            <w:tcBorders>
              <w:bottom w:val="single" w:sz="4" w:space="0" w:color="auto"/>
            </w:tcBorders>
            <w:vAlign w:val="center"/>
          </w:tcPr>
          <w:p w:rsidR="00023DC8" w:rsidRPr="001F7A12" w:rsidRDefault="00023DC8">
            <w:pPr>
              <w:jc w:val="right"/>
              <w:rPr>
                <w:rFonts w:ascii="Calibri" w:hAnsi="Calibri"/>
                <w:color w:val="000000"/>
                <w:sz w:val="18"/>
                <w:szCs w:val="18"/>
              </w:rPr>
            </w:pPr>
            <w:r w:rsidRPr="001F7A12">
              <w:rPr>
                <w:rFonts w:ascii="Calibri" w:hAnsi="Calibri"/>
                <w:color w:val="000000"/>
                <w:sz w:val="18"/>
                <w:szCs w:val="18"/>
              </w:rPr>
              <w:t>0.00%</w:t>
            </w:r>
          </w:p>
        </w:tc>
        <w:tc>
          <w:tcPr>
            <w:tcW w:w="1077" w:type="dxa"/>
            <w:tcBorders>
              <w:bottom w:val="single" w:sz="4" w:space="0" w:color="auto"/>
            </w:tcBorders>
            <w:vAlign w:val="center"/>
          </w:tcPr>
          <w:p w:rsidR="00023DC8" w:rsidRPr="001F7A12" w:rsidRDefault="00023DC8">
            <w:pPr>
              <w:jc w:val="right"/>
              <w:rPr>
                <w:rFonts w:ascii="Calibri" w:hAnsi="Calibri"/>
                <w:color w:val="000000"/>
                <w:sz w:val="18"/>
                <w:szCs w:val="18"/>
              </w:rPr>
            </w:pPr>
            <w:r w:rsidRPr="001F7A12">
              <w:rPr>
                <w:rFonts w:ascii="Calibri" w:hAnsi="Calibri"/>
                <w:color w:val="000000"/>
                <w:sz w:val="18"/>
                <w:szCs w:val="18"/>
              </w:rPr>
              <w:t>-0.01%</w:t>
            </w:r>
          </w:p>
        </w:tc>
        <w:tc>
          <w:tcPr>
            <w:tcW w:w="1078" w:type="dxa"/>
            <w:tcBorders>
              <w:bottom w:val="single" w:sz="4" w:space="0" w:color="auto"/>
            </w:tcBorders>
            <w:vAlign w:val="center"/>
          </w:tcPr>
          <w:p w:rsidR="00023DC8" w:rsidRPr="001F7A12" w:rsidRDefault="00023DC8">
            <w:pPr>
              <w:jc w:val="right"/>
              <w:rPr>
                <w:rFonts w:ascii="Calibri" w:hAnsi="Calibri"/>
                <w:color w:val="000000"/>
                <w:sz w:val="18"/>
                <w:szCs w:val="18"/>
              </w:rPr>
            </w:pPr>
            <w:r w:rsidRPr="001F7A12">
              <w:rPr>
                <w:rFonts w:ascii="Calibri" w:hAnsi="Calibri"/>
                <w:color w:val="000000"/>
                <w:sz w:val="18"/>
                <w:szCs w:val="18"/>
              </w:rPr>
              <w:t>NA</w:t>
            </w:r>
          </w:p>
        </w:tc>
        <w:tc>
          <w:tcPr>
            <w:tcW w:w="236" w:type="dxa"/>
            <w:tcBorders>
              <w:bottom w:val="single" w:sz="4" w:space="0" w:color="auto"/>
            </w:tcBorders>
          </w:tcPr>
          <w:p w:rsidR="00023DC8" w:rsidRPr="006B31B1" w:rsidRDefault="00023DC8" w:rsidP="00C85BA7">
            <w:pPr>
              <w:rPr>
                <w:rFonts w:ascii="Calibri" w:hAnsi="Calibri"/>
                <w:color w:val="000000"/>
                <w:sz w:val="18"/>
              </w:rPr>
            </w:pPr>
          </w:p>
        </w:tc>
        <w:tc>
          <w:tcPr>
            <w:tcW w:w="1077" w:type="dxa"/>
            <w:tcBorders>
              <w:bottom w:val="single" w:sz="4" w:space="0" w:color="auto"/>
            </w:tcBorders>
            <w:vAlign w:val="center"/>
          </w:tcPr>
          <w:p w:rsidR="00023DC8" w:rsidRPr="00023DC8" w:rsidRDefault="00023DC8">
            <w:pPr>
              <w:jc w:val="right"/>
              <w:rPr>
                <w:rFonts w:ascii="Calibri" w:hAnsi="Calibri"/>
                <w:color w:val="000000"/>
                <w:sz w:val="18"/>
                <w:szCs w:val="18"/>
              </w:rPr>
            </w:pPr>
            <w:r w:rsidRPr="00023DC8">
              <w:rPr>
                <w:rFonts w:ascii="Calibri" w:hAnsi="Calibri"/>
                <w:color w:val="000000"/>
                <w:sz w:val="18"/>
                <w:szCs w:val="18"/>
              </w:rPr>
              <w:t>5.71%</w:t>
            </w:r>
          </w:p>
        </w:tc>
        <w:tc>
          <w:tcPr>
            <w:tcW w:w="1077" w:type="dxa"/>
            <w:tcBorders>
              <w:bottom w:val="single" w:sz="4" w:space="0" w:color="auto"/>
            </w:tcBorders>
            <w:vAlign w:val="center"/>
          </w:tcPr>
          <w:p w:rsidR="00023DC8" w:rsidRPr="00023DC8" w:rsidRDefault="00023DC8">
            <w:pPr>
              <w:jc w:val="right"/>
              <w:rPr>
                <w:rFonts w:ascii="Calibri" w:hAnsi="Calibri"/>
                <w:color w:val="000000"/>
                <w:sz w:val="18"/>
                <w:szCs w:val="18"/>
              </w:rPr>
            </w:pPr>
            <w:r w:rsidRPr="00023DC8">
              <w:rPr>
                <w:rFonts w:ascii="Calibri" w:hAnsi="Calibri"/>
                <w:color w:val="000000"/>
                <w:sz w:val="18"/>
                <w:szCs w:val="18"/>
              </w:rPr>
              <w:t>0.51%</w:t>
            </w:r>
          </w:p>
        </w:tc>
        <w:tc>
          <w:tcPr>
            <w:tcW w:w="1077" w:type="dxa"/>
            <w:tcBorders>
              <w:bottom w:val="single" w:sz="4" w:space="0" w:color="auto"/>
            </w:tcBorders>
            <w:vAlign w:val="center"/>
          </w:tcPr>
          <w:p w:rsidR="00023DC8" w:rsidRPr="00023DC8" w:rsidRDefault="00023DC8">
            <w:pPr>
              <w:jc w:val="right"/>
              <w:rPr>
                <w:rFonts w:ascii="Calibri" w:hAnsi="Calibri"/>
                <w:color w:val="000000"/>
                <w:sz w:val="18"/>
                <w:szCs w:val="18"/>
              </w:rPr>
            </w:pPr>
            <w:r w:rsidRPr="00023DC8">
              <w:rPr>
                <w:rFonts w:ascii="Calibri" w:hAnsi="Calibri"/>
                <w:color w:val="000000"/>
                <w:sz w:val="18"/>
                <w:szCs w:val="18"/>
              </w:rPr>
              <w:t>0.02%</w:t>
            </w:r>
          </w:p>
        </w:tc>
        <w:tc>
          <w:tcPr>
            <w:tcW w:w="1078" w:type="dxa"/>
            <w:gridSpan w:val="2"/>
            <w:tcBorders>
              <w:bottom w:val="single" w:sz="4" w:space="0" w:color="auto"/>
            </w:tcBorders>
            <w:vAlign w:val="center"/>
          </w:tcPr>
          <w:p w:rsidR="00023DC8" w:rsidRPr="00023DC8" w:rsidRDefault="00023DC8">
            <w:pPr>
              <w:jc w:val="right"/>
              <w:rPr>
                <w:rFonts w:ascii="Calibri" w:hAnsi="Calibri"/>
                <w:color w:val="000000"/>
                <w:sz w:val="18"/>
                <w:szCs w:val="18"/>
              </w:rPr>
            </w:pPr>
            <w:r w:rsidRPr="00023DC8">
              <w:rPr>
                <w:rFonts w:ascii="Calibri" w:hAnsi="Calibri"/>
                <w:color w:val="000000"/>
                <w:sz w:val="18"/>
                <w:szCs w:val="18"/>
              </w:rPr>
              <w:t>NA</w:t>
            </w:r>
          </w:p>
        </w:tc>
      </w:tr>
    </w:tbl>
    <w:p w:rsidR="00137030" w:rsidRDefault="00137030" w:rsidP="00BE50DA">
      <w:pPr>
        <w:rPr>
          <w:rFonts w:cs="TTdcr10"/>
          <w:sz w:val="20"/>
          <w:szCs w:val="20"/>
        </w:rPr>
        <w:sectPr w:rsidR="00137030" w:rsidSect="00BE50DA">
          <w:footnotePr>
            <w:numRestart w:val="eachSect"/>
          </w:footnotePr>
          <w:pgSz w:w="16838" w:h="11906" w:orient="landscape"/>
          <w:pgMar w:top="1440" w:right="1440" w:bottom="1440" w:left="1440" w:header="708" w:footer="708" w:gutter="0"/>
          <w:cols w:space="708"/>
          <w:docGrid w:linePitch="360"/>
        </w:sectPr>
      </w:pPr>
    </w:p>
    <w:p w:rsidR="00641492" w:rsidRDefault="00641492" w:rsidP="00137030">
      <w:pPr>
        <w:rPr>
          <w:rFonts w:cs="TTdcr10"/>
          <w:sz w:val="20"/>
          <w:szCs w:val="20"/>
        </w:rPr>
      </w:pPr>
    </w:p>
    <w:sectPr w:rsidR="00641492" w:rsidSect="00BF7373">
      <w:footnotePr>
        <w:numRestart w:val="eachSect"/>
      </w:foot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06E1" w:rsidRDefault="00CE06E1" w:rsidP="00C95B31">
      <w:pPr>
        <w:spacing w:after="0" w:line="240" w:lineRule="auto"/>
      </w:pPr>
      <w:r>
        <w:separator/>
      </w:r>
    </w:p>
  </w:endnote>
  <w:endnote w:type="continuationSeparator" w:id="0">
    <w:p w:rsidR="00CE06E1" w:rsidRDefault="00CE06E1" w:rsidP="00C95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de">
    <w:altName w:val="Code"/>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mr10">
    <w:altName w:val="Vrinda"/>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TTdcr10">
    <w:panose1 w:val="00000000000000000000"/>
    <w:charset w:val="00"/>
    <w:family w:val="auto"/>
    <w:notTrueType/>
    <w:pitch w:val="default"/>
    <w:sig w:usb0="00000003" w:usb1="00000000" w:usb2="00000000" w:usb3="00000000" w:csb0="00000001" w:csb1="00000000"/>
  </w:font>
  <w:font w:name="OneGulliverA">
    <w:panose1 w:val="00000000000000000000"/>
    <w:charset w:val="00"/>
    <w:family w:val="auto"/>
    <w:notTrueType/>
    <w:pitch w:val="default"/>
    <w:sig w:usb0="00000003" w:usb1="00000000" w:usb2="00000000" w:usb3="00000000" w:csb0="00000001" w:csb1="00000000"/>
  </w:font>
  <w:font w:name="TimesNewRomanPS">
    <w:panose1 w:val="00000000000000000000"/>
    <w:charset w:val="00"/>
    <w:family w:val="roman"/>
    <w:notTrueType/>
    <w:pitch w:val="default"/>
    <w:sig w:usb0="00000003" w:usb1="00000000" w:usb2="00000000" w:usb3="00000000" w:csb0="00000001" w:csb1="00000000"/>
  </w:font>
  <w:font w:name="TimesNewRomanPS-Italic">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3696686"/>
      <w:docPartObj>
        <w:docPartGallery w:val="Page Numbers (Bottom of Page)"/>
        <w:docPartUnique/>
      </w:docPartObj>
    </w:sdtPr>
    <w:sdtEndPr>
      <w:rPr>
        <w:noProof/>
      </w:rPr>
    </w:sdtEndPr>
    <w:sdtContent>
      <w:p w:rsidR="00137030" w:rsidRDefault="00137030">
        <w:pPr>
          <w:pStyle w:val="Pidipagina"/>
          <w:jc w:val="center"/>
        </w:pPr>
        <w:r>
          <w:fldChar w:fldCharType="begin"/>
        </w:r>
        <w:r>
          <w:instrText xml:space="preserve"> PAGE   \* MERGEFORMAT </w:instrText>
        </w:r>
        <w:r>
          <w:fldChar w:fldCharType="separate"/>
        </w:r>
        <w:r w:rsidR="00F70230">
          <w:rPr>
            <w:noProof/>
          </w:rPr>
          <w:t>1</w:t>
        </w:r>
        <w:r>
          <w:rPr>
            <w:noProof/>
          </w:rPr>
          <w:fldChar w:fldCharType="end"/>
        </w:r>
      </w:p>
    </w:sdtContent>
  </w:sdt>
  <w:p w:rsidR="00137030" w:rsidRDefault="00137030">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06E1" w:rsidRDefault="00CE06E1" w:rsidP="00C95B31">
      <w:pPr>
        <w:spacing w:after="0" w:line="240" w:lineRule="auto"/>
      </w:pPr>
      <w:r>
        <w:separator/>
      </w:r>
    </w:p>
  </w:footnote>
  <w:footnote w:type="continuationSeparator" w:id="0">
    <w:p w:rsidR="00CE06E1" w:rsidRDefault="00CE06E1" w:rsidP="00C95B31">
      <w:pPr>
        <w:spacing w:after="0" w:line="240" w:lineRule="auto"/>
      </w:pPr>
      <w:r>
        <w:continuationSeparator/>
      </w:r>
    </w:p>
  </w:footnote>
  <w:footnote w:id="1">
    <w:p w:rsidR="00137030" w:rsidRDefault="00137030" w:rsidP="009406CA">
      <w:pPr>
        <w:pStyle w:val="Testonotaapidipagina"/>
      </w:pPr>
      <w:r>
        <w:rPr>
          <w:rStyle w:val="Rimandonotaapidipagina"/>
        </w:rPr>
        <w:t>*</w:t>
      </w:r>
      <w:r>
        <w:t xml:space="preserve"> </w:t>
      </w:r>
      <w:r w:rsidRPr="00C95B31">
        <w:t>ICMA Centre, Henley Business School, University of Reading, UK. E-mail addresses: a.dufour@icmacentre.ac.uk (A. Dufou</w:t>
      </w:r>
      <w:r>
        <w:t>r), a.t.stancu@icmacentre.ac.uk</w:t>
      </w:r>
      <w:r w:rsidRPr="00C95B31">
        <w:t xml:space="preserve"> (A. Stancu), s.varotto@icmacentre.ac.uk (S.Varotto)</w:t>
      </w:r>
    </w:p>
  </w:footnote>
  <w:footnote w:id="2">
    <w:p w:rsidR="00137030" w:rsidRDefault="00137030" w:rsidP="00EA40E6">
      <w:pPr>
        <w:pStyle w:val="Testonotaapidipagina"/>
      </w:pPr>
      <w:r>
        <w:rPr>
          <w:rStyle w:val="Rimandonotaapidipagina"/>
        </w:rPr>
        <w:footnoteRef/>
      </w:r>
      <w:r>
        <w:t>Consistent with</w:t>
      </w:r>
      <w:r w:rsidRPr="003418D4">
        <w:t xml:space="preserve"> Codogno et al. (2003) and Manganelli and Volswijk (2009),</w:t>
      </w:r>
      <w:r>
        <w:rPr>
          <w:sz w:val="24"/>
          <w:szCs w:val="24"/>
        </w:rPr>
        <w:t xml:space="preserve"> </w:t>
      </w:r>
      <w:r>
        <w:t xml:space="preserve">we assume </w:t>
      </w:r>
      <w:r w:rsidRPr="009209B9">
        <w:t>di</w:t>
      </w:r>
      <w:r>
        <w:t xml:space="preserve">fferences </w:t>
      </w:r>
      <w:r w:rsidRPr="009209B9">
        <w:t xml:space="preserve">in </w:t>
      </w:r>
      <w:r>
        <w:t xml:space="preserve">country </w:t>
      </w:r>
      <w:r w:rsidRPr="009209B9">
        <w:t>bond tax treatment</w:t>
      </w:r>
      <w:r>
        <w:t xml:space="preserve"> and post-trading arrangements (clearing and settlement) to have a small effect on sovereign yields and returns.</w:t>
      </w:r>
    </w:p>
  </w:footnote>
  <w:footnote w:id="3">
    <w:p w:rsidR="00137030" w:rsidRPr="00C31EA6" w:rsidRDefault="00137030" w:rsidP="002335E1">
      <w:pPr>
        <w:pStyle w:val="Testonotaapidipagina"/>
        <w:rPr>
          <w:lang w:val="en-US"/>
        </w:rPr>
      </w:pPr>
      <w:r>
        <w:rPr>
          <w:rStyle w:val="Rimandonotaapidipagina"/>
        </w:rPr>
        <w:footnoteRef/>
      </w:r>
      <w:r>
        <w:t xml:space="preserve"> As of May 2014, available bond cash markets include Austria, Belgium, Czech Republic, Denmark, Finland, France, Germany, Greece, Hungary, Ireland, Israel, Italy, Netherlands, Portugal, Poland, Slovenia, Spain and United Kingdom.</w:t>
      </w:r>
    </w:p>
  </w:footnote>
  <w:footnote w:id="4">
    <w:p w:rsidR="00137030" w:rsidRDefault="00137030" w:rsidP="005D5B47">
      <w:pPr>
        <w:pStyle w:val="Testonotaapidipagina"/>
      </w:pPr>
      <w:r w:rsidRPr="0089593C">
        <w:rPr>
          <w:rStyle w:val="Rimandonotaapidipagina"/>
        </w:rPr>
        <w:footnoteRef/>
      </w:r>
      <w:r>
        <w:t xml:space="preserve"> For a comparison between MTS and other major electronic platforms on European government bonds see </w:t>
      </w:r>
      <w:r w:rsidRPr="001D7D2E">
        <w:t>Dunne et al. (2006)</w:t>
      </w:r>
      <w:r>
        <w:t>, Persaud (2006) and ECB (2004, 2007).</w:t>
      </w:r>
    </w:p>
  </w:footnote>
  <w:footnote w:id="5">
    <w:p w:rsidR="00137030" w:rsidRDefault="00137030" w:rsidP="005D5B47">
      <w:pPr>
        <w:pStyle w:val="Testonotaapidipagina"/>
      </w:pPr>
      <w:r>
        <w:rPr>
          <w:rStyle w:val="Rimandonotaapidipagina"/>
        </w:rPr>
        <w:footnoteRef/>
      </w:r>
      <w:r>
        <w:t xml:space="preserve"> Also see Albanesi and Rindi (2000) for the evolution and market microstructure of MTS Italy, the institutional design model for EuroMTS and all other MTS cash markets.</w:t>
      </w:r>
    </w:p>
  </w:footnote>
  <w:footnote w:id="6">
    <w:p w:rsidR="00137030" w:rsidRDefault="00137030" w:rsidP="00EB4F14">
      <w:pPr>
        <w:pStyle w:val="Testonotaapidipagina"/>
        <w:jc w:val="both"/>
      </w:pPr>
      <w:r>
        <w:rPr>
          <w:rStyle w:val="Rimandonotaapidipagina"/>
        </w:rPr>
        <w:footnoteRef/>
      </w:r>
      <w:r>
        <w:t xml:space="preserve"> It is worth mentioning that bonds become benchmark bonds when the issue size criterion is met. As a result, a bond need not be a benchmark bond when issued, but can gain the benchmark status at a later date. This happens because some bonds are sold on the primary market in several tranches or tap sales. It is at the time when the bond receives the benchmark status that the bond starts trading on the EBM. Throughout our sample we find 34 such bonds that receive the benchmark status 1 to 15 months after they are first issued. There is an extreme case with a Spanish bond, </w:t>
      </w:r>
      <w:r w:rsidRPr="001A5CAC">
        <w:t>ES0000012098</w:t>
      </w:r>
      <w:r>
        <w:t xml:space="preserve">, which was issued on </w:t>
      </w:r>
      <w:r w:rsidRPr="001A5CAC">
        <w:t>30/07/1999</w:t>
      </w:r>
      <w:r>
        <w:t xml:space="preserve"> but received the benchmark status only on </w:t>
      </w:r>
      <w:r w:rsidRPr="001A5CAC">
        <w:t>25/02/2004</w:t>
      </w:r>
      <w:r>
        <w:t xml:space="preserve">. We include in our analysis only the time period after the bond was received the Euro benchmark flag. </w:t>
      </w:r>
    </w:p>
  </w:footnote>
  <w:footnote w:id="7">
    <w:p w:rsidR="00137030" w:rsidRDefault="00137030">
      <w:pPr>
        <w:pStyle w:val="Testonotaapidipagina"/>
      </w:pPr>
      <w:r>
        <w:rPr>
          <w:rStyle w:val="Rimandonotaapidipagina"/>
        </w:rPr>
        <w:footnoteRef/>
      </w:r>
      <w:r>
        <w:t xml:space="preserve"> The mid-price can incur a very large jump since the bid price cannot decrease below 0 but the ask price can theoretically increase to infinity. This process is best observed for Portugal where daily mid-prices went above 250 leading to unrealistic bond returns. Because the extreme intra-day illiquidity would be captured by an increase in the liquidity variable, pSPR, a false positive relationship between sovereign bond returns and liquidity risk forms. We believe that a 10% daily change in the price of a sovereign bond to be unrepresentative of the bond’s fundamental value. This filter excludes a total of 592 day-bond observations (or 0.1% of total observations) and the majority belong to Portugal (61.5%) and Greece (35.1%).</w:t>
      </w:r>
    </w:p>
  </w:footnote>
  <w:footnote w:id="8">
    <w:p w:rsidR="00137030" w:rsidRDefault="00137030">
      <w:pPr>
        <w:pStyle w:val="Testonotaapidipagina"/>
      </w:pPr>
      <w:r>
        <w:rPr>
          <w:rStyle w:val="Rimandonotaapidipagina"/>
        </w:rPr>
        <w:footnoteRef/>
      </w:r>
      <w:r>
        <w:t xml:space="preserve"> As can be inferred from Beber et.al (2009) and Bai et al. (2012), credit and liquidity risks vary through time in how these affect sovereign bond prices of each Euro-zone country. Thus, it is impossible to pinpoint an exact date where a structural break in bond returns can be observed in all 11 countries. This is why we have decided to split the sovereign debt crisis period into two equal size sub-periods. As a robustness test, we change the cut-off point from </w:t>
      </w:r>
      <w:r w:rsidRPr="002D44D2">
        <w:t>01 January 2012 to 01 July 2012.</w:t>
      </w:r>
      <w:r>
        <w:t xml:space="preserve"> The results remain qualitatively unaltered.  </w:t>
      </w:r>
    </w:p>
  </w:footnote>
  <w:footnote w:id="9">
    <w:p w:rsidR="00137030" w:rsidRDefault="00137030">
      <w:pPr>
        <w:pStyle w:val="Testonotaapidipagina"/>
      </w:pPr>
      <w:r>
        <w:rPr>
          <w:rStyle w:val="Rimandonotaapidipagina"/>
        </w:rPr>
        <w:footnoteRef/>
      </w:r>
      <w:r>
        <w:t xml:space="preserve"> We also perform our analysis by eliminating all interpolated CDS price observations. We observe our results remain qualitatively unchanged.</w:t>
      </w:r>
    </w:p>
  </w:footnote>
  <w:footnote w:id="10">
    <w:p w:rsidR="00137030" w:rsidRDefault="00137030" w:rsidP="00012BB2">
      <w:pPr>
        <w:pStyle w:val="Testonotaapidipagina"/>
      </w:pPr>
      <w:r>
        <w:rPr>
          <w:rStyle w:val="Rimandonotaapidipagina"/>
        </w:rPr>
        <w:footnoteRef/>
      </w:r>
      <w:r>
        <w:t xml:space="preserve"> No results are presented for Ireland in the pre-crisis period</w:t>
      </w:r>
      <w:r w:rsidRPr="002056C9">
        <w:t xml:space="preserve"> </w:t>
      </w:r>
      <w:r>
        <w:t>because there are no available CDS prices before 2008. However, when all available observations are considered</w:t>
      </w:r>
      <w:r w:rsidRPr="00762DC5">
        <w:t xml:space="preserve"> </w:t>
      </w:r>
      <w:r>
        <w:t xml:space="preserve">in the pre-crisis period, estimated for Ireland and all other courtiers considered in the analysis are in line will all conclusions made. Also, unreliable estimates are obtained for Greece during the second part of the sovereign crisis period. There are frequent periods when the Greek CDS market was suspended and most Greek bonds were traded a few hours per day or not at all. Computing daily bond returns has resulted in very few observation points. Thus, results are not reported for Greece during this period.         </w:t>
      </w:r>
    </w:p>
  </w:footnote>
  <w:footnote w:id="11">
    <w:p w:rsidR="00137030" w:rsidRDefault="00137030" w:rsidP="00C679A1">
      <w:pPr>
        <w:pStyle w:val="Testonotaapidipagina"/>
      </w:pPr>
      <w:r>
        <w:rPr>
          <w:rStyle w:val="Rimandonotaapidipagina"/>
        </w:rPr>
        <w:footnoteRef/>
      </w:r>
      <w:r>
        <w:t xml:space="preserve"> Each day all country specific bond returns with a remaining time-to-maturity between 9 and 11 years are averaged to build the time series of the 10 year bond portfolio.   </w:t>
      </w:r>
    </w:p>
  </w:footnote>
  <w:footnote w:id="12">
    <w:p w:rsidR="00137030" w:rsidRDefault="00137030">
      <w:pPr>
        <w:pStyle w:val="Testonotaapidipagina"/>
      </w:pPr>
      <w:r>
        <w:rPr>
          <w:rStyle w:val="Rimandonotaapidipagina"/>
        </w:rPr>
        <w:footnoteRef/>
      </w:r>
      <w:r>
        <w:t xml:space="preserve"> </w:t>
      </w:r>
      <w:r w:rsidRPr="00C679A1">
        <w:t xml:space="preserve">We also consider the 3 month EURIBOR rate for the base rate instead of the 3 month ECB rate. </w:t>
      </w:r>
      <w:r>
        <w:t>R</w:t>
      </w:r>
      <w:r w:rsidRPr="00C679A1">
        <w:t xml:space="preserve">esults remain </w:t>
      </w:r>
      <w:r>
        <w:t>unchanged</w:t>
      </w:r>
      <w:r w:rsidRPr="00C679A1">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654B7"/>
    <w:multiLevelType w:val="hybridMultilevel"/>
    <w:tmpl w:val="774043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219C053E"/>
    <w:multiLevelType w:val="hybridMultilevel"/>
    <w:tmpl w:val="78C4600C"/>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
    <w:nsid w:val="2E757172"/>
    <w:multiLevelType w:val="hybridMultilevel"/>
    <w:tmpl w:val="033211CE"/>
    <w:lvl w:ilvl="0" w:tplc="DFAEBAC8">
      <w:start w:val="2"/>
      <w:numFmt w:val="bullet"/>
      <w:lvlText w:val="-"/>
      <w:lvlJc w:val="left"/>
      <w:pPr>
        <w:ind w:left="717" w:hanging="360"/>
      </w:pPr>
      <w:rPr>
        <w:rFonts w:ascii="Calibri" w:eastAsiaTheme="minorHAnsi" w:hAnsi="Calibri" w:cstheme="minorBidi"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
    <w:nsid w:val="388B61C9"/>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98311F1"/>
    <w:multiLevelType w:val="hybridMultilevel"/>
    <w:tmpl w:val="FDF89868"/>
    <w:lvl w:ilvl="0" w:tplc="0318077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3A811500"/>
    <w:multiLevelType w:val="hybridMultilevel"/>
    <w:tmpl w:val="9FB8BC8A"/>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3C670B1A"/>
    <w:multiLevelType w:val="hybridMultilevel"/>
    <w:tmpl w:val="080E3EB6"/>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427A7732"/>
    <w:multiLevelType w:val="hybridMultilevel"/>
    <w:tmpl w:val="1082AE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609A43D3"/>
    <w:multiLevelType w:val="multilevel"/>
    <w:tmpl w:val="5EBE1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E0D3727"/>
    <w:multiLevelType w:val="hybridMultilevel"/>
    <w:tmpl w:val="FDF09080"/>
    <w:lvl w:ilvl="0" w:tplc="0809001B">
      <w:start w:val="1"/>
      <w:numFmt w:val="lowerRoman"/>
      <w:lvlText w:val="%1."/>
      <w:lvlJc w:val="righ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75477B53"/>
    <w:multiLevelType w:val="multilevel"/>
    <w:tmpl w:val="D0DAF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6"/>
  </w:num>
  <w:num w:numId="4">
    <w:abstractNumId w:val="9"/>
  </w:num>
  <w:num w:numId="5">
    <w:abstractNumId w:val="4"/>
  </w:num>
  <w:num w:numId="6">
    <w:abstractNumId w:val="10"/>
  </w:num>
  <w:num w:numId="7">
    <w:abstractNumId w:val="5"/>
  </w:num>
  <w:num w:numId="8">
    <w:abstractNumId w:val="0"/>
  </w:num>
  <w:num w:numId="9">
    <w:abstractNumId w:val="1"/>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4E1"/>
    <w:rsid w:val="0000077E"/>
    <w:rsid w:val="00002A16"/>
    <w:rsid w:val="00002D7A"/>
    <w:rsid w:val="00003113"/>
    <w:rsid w:val="00003736"/>
    <w:rsid w:val="00003BC2"/>
    <w:rsid w:val="00005019"/>
    <w:rsid w:val="000059BD"/>
    <w:rsid w:val="00012BB2"/>
    <w:rsid w:val="000146BA"/>
    <w:rsid w:val="0001590A"/>
    <w:rsid w:val="00017306"/>
    <w:rsid w:val="00017352"/>
    <w:rsid w:val="00021B6C"/>
    <w:rsid w:val="00022F76"/>
    <w:rsid w:val="00023085"/>
    <w:rsid w:val="0002335E"/>
    <w:rsid w:val="00023DC8"/>
    <w:rsid w:val="00024E63"/>
    <w:rsid w:val="00030D33"/>
    <w:rsid w:val="00031951"/>
    <w:rsid w:val="00031B91"/>
    <w:rsid w:val="00032B08"/>
    <w:rsid w:val="0003301E"/>
    <w:rsid w:val="00033062"/>
    <w:rsid w:val="000361C8"/>
    <w:rsid w:val="000373B6"/>
    <w:rsid w:val="00040F63"/>
    <w:rsid w:val="00041BAC"/>
    <w:rsid w:val="00042AC0"/>
    <w:rsid w:val="00042F3D"/>
    <w:rsid w:val="00046EC1"/>
    <w:rsid w:val="00050E72"/>
    <w:rsid w:val="000516F8"/>
    <w:rsid w:val="00052CAD"/>
    <w:rsid w:val="0005629F"/>
    <w:rsid w:val="00057E4C"/>
    <w:rsid w:val="00060F0B"/>
    <w:rsid w:val="000639F7"/>
    <w:rsid w:val="0006418B"/>
    <w:rsid w:val="0006481E"/>
    <w:rsid w:val="0006564E"/>
    <w:rsid w:val="00066113"/>
    <w:rsid w:val="00067117"/>
    <w:rsid w:val="00067941"/>
    <w:rsid w:val="00070422"/>
    <w:rsid w:val="00070981"/>
    <w:rsid w:val="00070CDB"/>
    <w:rsid w:val="00070ED5"/>
    <w:rsid w:val="00071420"/>
    <w:rsid w:val="00073914"/>
    <w:rsid w:val="00073BCA"/>
    <w:rsid w:val="00075467"/>
    <w:rsid w:val="00075A3F"/>
    <w:rsid w:val="000761EC"/>
    <w:rsid w:val="00076C8E"/>
    <w:rsid w:val="00076D60"/>
    <w:rsid w:val="000805B0"/>
    <w:rsid w:val="00080862"/>
    <w:rsid w:val="000813D9"/>
    <w:rsid w:val="000813FA"/>
    <w:rsid w:val="00081F32"/>
    <w:rsid w:val="00082C2E"/>
    <w:rsid w:val="00082C85"/>
    <w:rsid w:val="0008308D"/>
    <w:rsid w:val="00083E49"/>
    <w:rsid w:val="0008410E"/>
    <w:rsid w:val="00084F09"/>
    <w:rsid w:val="0008556D"/>
    <w:rsid w:val="00085A70"/>
    <w:rsid w:val="00085C51"/>
    <w:rsid w:val="00086341"/>
    <w:rsid w:val="00086887"/>
    <w:rsid w:val="00093339"/>
    <w:rsid w:val="000934D7"/>
    <w:rsid w:val="00093D88"/>
    <w:rsid w:val="00095025"/>
    <w:rsid w:val="00095C1E"/>
    <w:rsid w:val="00097E09"/>
    <w:rsid w:val="000A06CA"/>
    <w:rsid w:val="000A237A"/>
    <w:rsid w:val="000A278E"/>
    <w:rsid w:val="000A283C"/>
    <w:rsid w:val="000A3A5C"/>
    <w:rsid w:val="000A3E1A"/>
    <w:rsid w:val="000A4228"/>
    <w:rsid w:val="000A4EA8"/>
    <w:rsid w:val="000A551D"/>
    <w:rsid w:val="000A6113"/>
    <w:rsid w:val="000A6553"/>
    <w:rsid w:val="000B4D83"/>
    <w:rsid w:val="000B55AF"/>
    <w:rsid w:val="000B591B"/>
    <w:rsid w:val="000B699F"/>
    <w:rsid w:val="000B78A9"/>
    <w:rsid w:val="000B7A39"/>
    <w:rsid w:val="000C67DB"/>
    <w:rsid w:val="000C7738"/>
    <w:rsid w:val="000D06F4"/>
    <w:rsid w:val="000D10B4"/>
    <w:rsid w:val="000D1607"/>
    <w:rsid w:val="000D2BBF"/>
    <w:rsid w:val="000D2BE5"/>
    <w:rsid w:val="000D410D"/>
    <w:rsid w:val="000D593B"/>
    <w:rsid w:val="000D5FD1"/>
    <w:rsid w:val="000D7801"/>
    <w:rsid w:val="000E064A"/>
    <w:rsid w:val="000E1765"/>
    <w:rsid w:val="000E306D"/>
    <w:rsid w:val="000E4577"/>
    <w:rsid w:val="000E6892"/>
    <w:rsid w:val="000F1CF2"/>
    <w:rsid w:val="000F263C"/>
    <w:rsid w:val="000F2F74"/>
    <w:rsid w:val="000F41B1"/>
    <w:rsid w:val="000F47FF"/>
    <w:rsid w:val="000F4AC7"/>
    <w:rsid w:val="000F4F84"/>
    <w:rsid w:val="000F54BD"/>
    <w:rsid w:val="000F6981"/>
    <w:rsid w:val="001005A2"/>
    <w:rsid w:val="00100AC7"/>
    <w:rsid w:val="00103130"/>
    <w:rsid w:val="00103ADC"/>
    <w:rsid w:val="0010443D"/>
    <w:rsid w:val="001050D4"/>
    <w:rsid w:val="00106AF9"/>
    <w:rsid w:val="001108E0"/>
    <w:rsid w:val="0011455E"/>
    <w:rsid w:val="00114F6A"/>
    <w:rsid w:val="00116A4B"/>
    <w:rsid w:val="00116EC4"/>
    <w:rsid w:val="001200B2"/>
    <w:rsid w:val="00120231"/>
    <w:rsid w:val="00120C26"/>
    <w:rsid w:val="00120E60"/>
    <w:rsid w:val="00120EBF"/>
    <w:rsid w:val="00121853"/>
    <w:rsid w:val="0012368B"/>
    <w:rsid w:val="00123F3A"/>
    <w:rsid w:val="001245F2"/>
    <w:rsid w:val="0012498C"/>
    <w:rsid w:val="001252CA"/>
    <w:rsid w:val="00125819"/>
    <w:rsid w:val="00125871"/>
    <w:rsid w:val="00125C48"/>
    <w:rsid w:val="001278AC"/>
    <w:rsid w:val="00130737"/>
    <w:rsid w:val="00130D04"/>
    <w:rsid w:val="00130F50"/>
    <w:rsid w:val="00130F52"/>
    <w:rsid w:val="00132E73"/>
    <w:rsid w:val="00133075"/>
    <w:rsid w:val="001330AD"/>
    <w:rsid w:val="0013505E"/>
    <w:rsid w:val="00135355"/>
    <w:rsid w:val="00135673"/>
    <w:rsid w:val="001364F7"/>
    <w:rsid w:val="00137030"/>
    <w:rsid w:val="001425A0"/>
    <w:rsid w:val="00142886"/>
    <w:rsid w:val="00143AF8"/>
    <w:rsid w:val="00143E34"/>
    <w:rsid w:val="00146065"/>
    <w:rsid w:val="0014614D"/>
    <w:rsid w:val="00152591"/>
    <w:rsid w:val="00153B5D"/>
    <w:rsid w:val="00154952"/>
    <w:rsid w:val="0015584F"/>
    <w:rsid w:val="001559E9"/>
    <w:rsid w:val="00157623"/>
    <w:rsid w:val="001646B3"/>
    <w:rsid w:val="00164970"/>
    <w:rsid w:val="00166E78"/>
    <w:rsid w:val="001671B2"/>
    <w:rsid w:val="001702F1"/>
    <w:rsid w:val="00171512"/>
    <w:rsid w:val="0017154A"/>
    <w:rsid w:val="00171DFB"/>
    <w:rsid w:val="00173D93"/>
    <w:rsid w:val="001743F2"/>
    <w:rsid w:val="001761A2"/>
    <w:rsid w:val="00176485"/>
    <w:rsid w:val="001804AD"/>
    <w:rsid w:val="00180CBF"/>
    <w:rsid w:val="001824F7"/>
    <w:rsid w:val="00182798"/>
    <w:rsid w:val="00182F58"/>
    <w:rsid w:val="0018447A"/>
    <w:rsid w:val="00184924"/>
    <w:rsid w:val="00184EF4"/>
    <w:rsid w:val="00185590"/>
    <w:rsid w:val="00186660"/>
    <w:rsid w:val="001868F6"/>
    <w:rsid w:val="00187BD3"/>
    <w:rsid w:val="001960B2"/>
    <w:rsid w:val="00197BA6"/>
    <w:rsid w:val="001A12FF"/>
    <w:rsid w:val="001A2C1F"/>
    <w:rsid w:val="001A3414"/>
    <w:rsid w:val="001A37A1"/>
    <w:rsid w:val="001A3AD9"/>
    <w:rsid w:val="001A5CAC"/>
    <w:rsid w:val="001B0BAE"/>
    <w:rsid w:val="001B1C26"/>
    <w:rsid w:val="001B3BA5"/>
    <w:rsid w:val="001B3CA5"/>
    <w:rsid w:val="001B3F8A"/>
    <w:rsid w:val="001B547D"/>
    <w:rsid w:val="001B5A86"/>
    <w:rsid w:val="001C17AE"/>
    <w:rsid w:val="001C1A1D"/>
    <w:rsid w:val="001C1D6C"/>
    <w:rsid w:val="001C23DF"/>
    <w:rsid w:val="001C2552"/>
    <w:rsid w:val="001C2EAE"/>
    <w:rsid w:val="001C3581"/>
    <w:rsid w:val="001C376A"/>
    <w:rsid w:val="001C45E5"/>
    <w:rsid w:val="001C54D0"/>
    <w:rsid w:val="001D19EB"/>
    <w:rsid w:val="001D332F"/>
    <w:rsid w:val="001D42D4"/>
    <w:rsid w:val="001D4D58"/>
    <w:rsid w:val="001D5480"/>
    <w:rsid w:val="001D7245"/>
    <w:rsid w:val="001D7D2E"/>
    <w:rsid w:val="001E440B"/>
    <w:rsid w:val="001E6CA3"/>
    <w:rsid w:val="001F0356"/>
    <w:rsid w:val="001F214F"/>
    <w:rsid w:val="001F2220"/>
    <w:rsid w:val="001F2DA6"/>
    <w:rsid w:val="001F4ABB"/>
    <w:rsid w:val="001F5594"/>
    <w:rsid w:val="001F5ACB"/>
    <w:rsid w:val="001F7A12"/>
    <w:rsid w:val="001F7D5F"/>
    <w:rsid w:val="0020059C"/>
    <w:rsid w:val="002018EA"/>
    <w:rsid w:val="002030B5"/>
    <w:rsid w:val="00203CFB"/>
    <w:rsid w:val="002049E2"/>
    <w:rsid w:val="002056C9"/>
    <w:rsid w:val="002057A5"/>
    <w:rsid w:val="002069E4"/>
    <w:rsid w:val="00206B67"/>
    <w:rsid w:val="00206F45"/>
    <w:rsid w:val="00210350"/>
    <w:rsid w:val="00210923"/>
    <w:rsid w:val="00210F6D"/>
    <w:rsid w:val="00211671"/>
    <w:rsid w:val="00212154"/>
    <w:rsid w:val="00212F23"/>
    <w:rsid w:val="002131E2"/>
    <w:rsid w:val="0021387C"/>
    <w:rsid w:val="00217412"/>
    <w:rsid w:val="0021796A"/>
    <w:rsid w:val="00221F8F"/>
    <w:rsid w:val="0022230B"/>
    <w:rsid w:val="002236E6"/>
    <w:rsid w:val="00223A4F"/>
    <w:rsid w:val="00224EF7"/>
    <w:rsid w:val="0022577D"/>
    <w:rsid w:val="002312F7"/>
    <w:rsid w:val="002325CA"/>
    <w:rsid w:val="0023317F"/>
    <w:rsid w:val="002335E1"/>
    <w:rsid w:val="00233B6D"/>
    <w:rsid w:val="00233C6D"/>
    <w:rsid w:val="00235094"/>
    <w:rsid w:val="002350F0"/>
    <w:rsid w:val="002354E5"/>
    <w:rsid w:val="002374D5"/>
    <w:rsid w:val="00237A2A"/>
    <w:rsid w:val="00237BDB"/>
    <w:rsid w:val="00240483"/>
    <w:rsid w:val="0024148D"/>
    <w:rsid w:val="00241781"/>
    <w:rsid w:val="00241A34"/>
    <w:rsid w:val="00241BF8"/>
    <w:rsid w:val="0024299F"/>
    <w:rsid w:val="00245B27"/>
    <w:rsid w:val="00245EE6"/>
    <w:rsid w:val="00246404"/>
    <w:rsid w:val="00246AC6"/>
    <w:rsid w:val="00247222"/>
    <w:rsid w:val="0024788C"/>
    <w:rsid w:val="00247DA4"/>
    <w:rsid w:val="00247F03"/>
    <w:rsid w:val="00251803"/>
    <w:rsid w:val="00251B1D"/>
    <w:rsid w:val="002523FE"/>
    <w:rsid w:val="0025269F"/>
    <w:rsid w:val="00253CF8"/>
    <w:rsid w:val="00253F37"/>
    <w:rsid w:val="00253F58"/>
    <w:rsid w:val="00255D5F"/>
    <w:rsid w:val="00256346"/>
    <w:rsid w:val="00256D90"/>
    <w:rsid w:val="0025745B"/>
    <w:rsid w:val="0025797C"/>
    <w:rsid w:val="00257F41"/>
    <w:rsid w:val="00267021"/>
    <w:rsid w:val="00270A18"/>
    <w:rsid w:val="00273954"/>
    <w:rsid w:val="002743CF"/>
    <w:rsid w:val="0027574E"/>
    <w:rsid w:val="00277569"/>
    <w:rsid w:val="002777B8"/>
    <w:rsid w:val="002822DF"/>
    <w:rsid w:val="0028377A"/>
    <w:rsid w:val="002864F8"/>
    <w:rsid w:val="002865A3"/>
    <w:rsid w:val="00286D70"/>
    <w:rsid w:val="00291559"/>
    <w:rsid w:val="00291C82"/>
    <w:rsid w:val="00292D01"/>
    <w:rsid w:val="00293E41"/>
    <w:rsid w:val="0029444F"/>
    <w:rsid w:val="00295A18"/>
    <w:rsid w:val="002964A9"/>
    <w:rsid w:val="00296C87"/>
    <w:rsid w:val="00297505"/>
    <w:rsid w:val="002A0C74"/>
    <w:rsid w:val="002A1305"/>
    <w:rsid w:val="002A4F0D"/>
    <w:rsid w:val="002A7073"/>
    <w:rsid w:val="002A7330"/>
    <w:rsid w:val="002B0B5B"/>
    <w:rsid w:val="002B0D1D"/>
    <w:rsid w:val="002B2026"/>
    <w:rsid w:val="002B2CCA"/>
    <w:rsid w:val="002B36DF"/>
    <w:rsid w:val="002B3814"/>
    <w:rsid w:val="002B455C"/>
    <w:rsid w:val="002B5DE8"/>
    <w:rsid w:val="002B6D32"/>
    <w:rsid w:val="002C0B86"/>
    <w:rsid w:val="002C242C"/>
    <w:rsid w:val="002C3BB4"/>
    <w:rsid w:val="002C42CE"/>
    <w:rsid w:val="002C7069"/>
    <w:rsid w:val="002D2545"/>
    <w:rsid w:val="002D26C8"/>
    <w:rsid w:val="002D44D2"/>
    <w:rsid w:val="002D5B54"/>
    <w:rsid w:val="002E0A79"/>
    <w:rsid w:val="002E3B2E"/>
    <w:rsid w:val="002E540F"/>
    <w:rsid w:val="002E54CA"/>
    <w:rsid w:val="002E787A"/>
    <w:rsid w:val="002F120A"/>
    <w:rsid w:val="002F1666"/>
    <w:rsid w:val="002F1EFD"/>
    <w:rsid w:val="002F1F8E"/>
    <w:rsid w:val="002F5102"/>
    <w:rsid w:val="002F5912"/>
    <w:rsid w:val="002F5961"/>
    <w:rsid w:val="002F6C8D"/>
    <w:rsid w:val="002F7398"/>
    <w:rsid w:val="00301E61"/>
    <w:rsid w:val="0030364D"/>
    <w:rsid w:val="00305CAB"/>
    <w:rsid w:val="00305D36"/>
    <w:rsid w:val="003068FA"/>
    <w:rsid w:val="0030786C"/>
    <w:rsid w:val="00307E30"/>
    <w:rsid w:val="00313AE3"/>
    <w:rsid w:val="003152F4"/>
    <w:rsid w:val="00315BAB"/>
    <w:rsid w:val="0031689C"/>
    <w:rsid w:val="003175C2"/>
    <w:rsid w:val="00323E9A"/>
    <w:rsid w:val="00326B4F"/>
    <w:rsid w:val="00327461"/>
    <w:rsid w:val="00331254"/>
    <w:rsid w:val="00332BF2"/>
    <w:rsid w:val="0033436B"/>
    <w:rsid w:val="00335EAA"/>
    <w:rsid w:val="00336592"/>
    <w:rsid w:val="003418D4"/>
    <w:rsid w:val="003443A8"/>
    <w:rsid w:val="00344666"/>
    <w:rsid w:val="003467A9"/>
    <w:rsid w:val="00346B5D"/>
    <w:rsid w:val="00350A75"/>
    <w:rsid w:val="003528CB"/>
    <w:rsid w:val="00352EAF"/>
    <w:rsid w:val="00353A49"/>
    <w:rsid w:val="00354330"/>
    <w:rsid w:val="00355E9E"/>
    <w:rsid w:val="003569A1"/>
    <w:rsid w:val="00357C32"/>
    <w:rsid w:val="00360FC1"/>
    <w:rsid w:val="00361FAC"/>
    <w:rsid w:val="003639B0"/>
    <w:rsid w:val="00363B15"/>
    <w:rsid w:val="003659D4"/>
    <w:rsid w:val="00366A37"/>
    <w:rsid w:val="003703CB"/>
    <w:rsid w:val="003713E8"/>
    <w:rsid w:val="00371693"/>
    <w:rsid w:val="0037214E"/>
    <w:rsid w:val="00372547"/>
    <w:rsid w:val="003742D2"/>
    <w:rsid w:val="00374C57"/>
    <w:rsid w:val="00374EC4"/>
    <w:rsid w:val="00377E2F"/>
    <w:rsid w:val="00380C4E"/>
    <w:rsid w:val="00381986"/>
    <w:rsid w:val="003833BE"/>
    <w:rsid w:val="003836E8"/>
    <w:rsid w:val="00385934"/>
    <w:rsid w:val="00386B32"/>
    <w:rsid w:val="00387BC6"/>
    <w:rsid w:val="00387F56"/>
    <w:rsid w:val="003903DB"/>
    <w:rsid w:val="003914EB"/>
    <w:rsid w:val="00392775"/>
    <w:rsid w:val="00393CEA"/>
    <w:rsid w:val="00394055"/>
    <w:rsid w:val="0039408B"/>
    <w:rsid w:val="0039420F"/>
    <w:rsid w:val="00394791"/>
    <w:rsid w:val="003957EE"/>
    <w:rsid w:val="003958C0"/>
    <w:rsid w:val="0039677E"/>
    <w:rsid w:val="003A1CFC"/>
    <w:rsid w:val="003A1ECC"/>
    <w:rsid w:val="003A4121"/>
    <w:rsid w:val="003A4235"/>
    <w:rsid w:val="003A512A"/>
    <w:rsid w:val="003A59F4"/>
    <w:rsid w:val="003A6B35"/>
    <w:rsid w:val="003A7CAA"/>
    <w:rsid w:val="003B1362"/>
    <w:rsid w:val="003B195B"/>
    <w:rsid w:val="003B22A2"/>
    <w:rsid w:val="003B548C"/>
    <w:rsid w:val="003B6FFA"/>
    <w:rsid w:val="003B70CD"/>
    <w:rsid w:val="003C077E"/>
    <w:rsid w:val="003C07E1"/>
    <w:rsid w:val="003C4FE9"/>
    <w:rsid w:val="003C5563"/>
    <w:rsid w:val="003D0DD6"/>
    <w:rsid w:val="003D140F"/>
    <w:rsid w:val="003D3E12"/>
    <w:rsid w:val="003D45DE"/>
    <w:rsid w:val="003D4962"/>
    <w:rsid w:val="003D5228"/>
    <w:rsid w:val="003D541C"/>
    <w:rsid w:val="003E0FE4"/>
    <w:rsid w:val="003E268A"/>
    <w:rsid w:val="003E3DDA"/>
    <w:rsid w:val="003E433C"/>
    <w:rsid w:val="003E4C64"/>
    <w:rsid w:val="003E72E8"/>
    <w:rsid w:val="003F031C"/>
    <w:rsid w:val="003F0BD3"/>
    <w:rsid w:val="003F110C"/>
    <w:rsid w:val="003F22D1"/>
    <w:rsid w:val="003F614C"/>
    <w:rsid w:val="00400C58"/>
    <w:rsid w:val="00403097"/>
    <w:rsid w:val="00403402"/>
    <w:rsid w:val="00403DC3"/>
    <w:rsid w:val="00406AE3"/>
    <w:rsid w:val="004100B1"/>
    <w:rsid w:val="00410784"/>
    <w:rsid w:val="00411BE5"/>
    <w:rsid w:val="00412346"/>
    <w:rsid w:val="00413092"/>
    <w:rsid w:val="004131A5"/>
    <w:rsid w:val="00413EAF"/>
    <w:rsid w:val="00415107"/>
    <w:rsid w:val="0041596A"/>
    <w:rsid w:val="004165A0"/>
    <w:rsid w:val="00417475"/>
    <w:rsid w:val="0042304C"/>
    <w:rsid w:val="00423AFD"/>
    <w:rsid w:val="0042450F"/>
    <w:rsid w:val="004251FB"/>
    <w:rsid w:val="004255FE"/>
    <w:rsid w:val="004260B4"/>
    <w:rsid w:val="00426408"/>
    <w:rsid w:val="004300CD"/>
    <w:rsid w:val="00430D21"/>
    <w:rsid w:val="00430E59"/>
    <w:rsid w:val="0043201C"/>
    <w:rsid w:val="00433126"/>
    <w:rsid w:val="00433958"/>
    <w:rsid w:val="004343EC"/>
    <w:rsid w:val="00436A90"/>
    <w:rsid w:val="00437CC9"/>
    <w:rsid w:val="004447FC"/>
    <w:rsid w:val="00445A2C"/>
    <w:rsid w:val="00446F09"/>
    <w:rsid w:val="00447342"/>
    <w:rsid w:val="0045082D"/>
    <w:rsid w:val="004508AD"/>
    <w:rsid w:val="00451AD9"/>
    <w:rsid w:val="004534BE"/>
    <w:rsid w:val="00454106"/>
    <w:rsid w:val="00454250"/>
    <w:rsid w:val="00454952"/>
    <w:rsid w:val="00456E1F"/>
    <w:rsid w:val="004572D1"/>
    <w:rsid w:val="00457D22"/>
    <w:rsid w:val="00457E32"/>
    <w:rsid w:val="0046002E"/>
    <w:rsid w:val="004607F5"/>
    <w:rsid w:val="004614B9"/>
    <w:rsid w:val="004637A3"/>
    <w:rsid w:val="004652E9"/>
    <w:rsid w:val="00465384"/>
    <w:rsid w:val="004667E1"/>
    <w:rsid w:val="00470023"/>
    <w:rsid w:val="00472734"/>
    <w:rsid w:val="00473351"/>
    <w:rsid w:val="00475776"/>
    <w:rsid w:val="004757B9"/>
    <w:rsid w:val="00475903"/>
    <w:rsid w:val="00475D53"/>
    <w:rsid w:val="00475E39"/>
    <w:rsid w:val="00477513"/>
    <w:rsid w:val="00477F18"/>
    <w:rsid w:val="0048254D"/>
    <w:rsid w:val="00482E58"/>
    <w:rsid w:val="00483AAF"/>
    <w:rsid w:val="00483C9C"/>
    <w:rsid w:val="004861D8"/>
    <w:rsid w:val="00487D61"/>
    <w:rsid w:val="004907CF"/>
    <w:rsid w:val="00491A7F"/>
    <w:rsid w:val="00491E58"/>
    <w:rsid w:val="0049234C"/>
    <w:rsid w:val="00492470"/>
    <w:rsid w:val="00493199"/>
    <w:rsid w:val="00493B05"/>
    <w:rsid w:val="0049503B"/>
    <w:rsid w:val="00495420"/>
    <w:rsid w:val="0049705D"/>
    <w:rsid w:val="00497EC0"/>
    <w:rsid w:val="004A227B"/>
    <w:rsid w:val="004A2AE8"/>
    <w:rsid w:val="004A2E08"/>
    <w:rsid w:val="004A4531"/>
    <w:rsid w:val="004A4854"/>
    <w:rsid w:val="004A68BE"/>
    <w:rsid w:val="004A754A"/>
    <w:rsid w:val="004B01E5"/>
    <w:rsid w:val="004B098E"/>
    <w:rsid w:val="004B18E1"/>
    <w:rsid w:val="004B2AE6"/>
    <w:rsid w:val="004B3565"/>
    <w:rsid w:val="004B3850"/>
    <w:rsid w:val="004B3D56"/>
    <w:rsid w:val="004B6A20"/>
    <w:rsid w:val="004B6D46"/>
    <w:rsid w:val="004B723D"/>
    <w:rsid w:val="004C1165"/>
    <w:rsid w:val="004C2C23"/>
    <w:rsid w:val="004C4997"/>
    <w:rsid w:val="004C6A18"/>
    <w:rsid w:val="004D57D0"/>
    <w:rsid w:val="004D58AF"/>
    <w:rsid w:val="004D7599"/>
    <w:rsid w:val="004E05B9"/>
    <w:rsid w:val="004E0B52"/>
    <w:rsid w:val="004E2E01"/>
    <w:rsid w:val="004E4652"/>
    <w:rsid w:val="004E4712"/>
    <w:rsid w:val="004F13E3"/>
    <w:rsid w:val="004F192F"/>
    <w:rsid w:val="004F1F8A"/>
    <w:rsid w:val="004F346C"/>
    <w:rsid w:val="004F6209"/>
    <w:rsid w:val="00501710"/>
    <w:rsid w:val="005018FA"/>
    <w:rsid w:val="005050BE"/>
    <w:rsid w:val="00505C93"/>
    <w:rsid w:val="005060F5"/>
    <w:rsid w:val="0051010B"/>
    <w:rsid w:val="005104DE"/>
    <w:rsid w:val="005111BE"/>
    <w:rsid w:val="005135B6"/>
    <w:rsid w:val="005141A0"/>
    <w:rsid w:val="00517271"/>
    <w:rsid w:val="0051762D"/>
    <w:rsid w:val="00520A43"/>
    <w:rsid w:val="00526164"/>
    <w:rsid w:val="00530779"/>
    <w:rsid w:val="00533964"/>
    <w:rsid w:val="00534A27"/>
    <w:rsid w:val="0053788E"/>
    <w:rsid w:val="00541294"/>
    <w:rsid w:val="00542DAA"/>
    <w:rsid w:val="0054327E"/>
    <w:rsid w:val="00543D10"/>
    <w:rsid w:val="00544AD6"/>
    <w:rsid w:val="005472E3"/>
    <w:rsid w:val="005476AF"/>
    <w:rsid w:val="00547D58"/>
    <w:rsid w:val="005513BF"/>
    <w:rsid w:val="00551A1C"/>
    <w:rsid w:val="00551ACB"/>
    <w:rsid w:val="00553251"/>
    <w:rsid w:val="0055374A"/>
    <w:rsid w:val="0055586B"/>
    <w:rsid w:val="005566BE"/>
    <w:rsid w:val="0055749A"/>
    <w:rsid w:val="00560F64"/>
    <w:rsid w:val="00561A65"/>
    <w:rsid w:val="00561D08"/>
    <w:rsid w:val="005622D5"/>
    <w:rsid w:val="00562897"/>
    <w:rsid w:val="00564E07"/>
    <w:rsid w:val="0056578E"/>
    <w:rsid w:val="0056648E"/>
    <w:rsid w:val="00566A93"/>
    <w:rsid w:val="00567D04"/>
    <w:rsid w:val="00567FF8"/>
    <w:rsid w:val="00570018"/>
    <w:rsid w:val="00570E6C"/>
    <w:rsid w:val="00571360"/>
    <w:rsid w:val="00571EE4"/>
    <w:rsid w:val="005724BA"/>
    <w:rsid w:val="0057287B"/>
    <w:rsid w:val="005729FB"/>
    <w:rsid w:val="00573981"/>
    <w:rsid w:val="00574113"/>
    <w:rsid w:val="00574292"/>
    <w:rsid w:val="0057599E"/>
    <w:rsid w:val="005762D1"/>
    <w:rsid w:val="00581D20"/>
    <w:rsid w:val="00584715"/>
    <w:rsid w:val="0058503D"/>
    <w:rsid w:val="00585711"/>
    <w:rsid w:val="00585D20"/>
    <w:rsid w:val="00585E79"/>
    <w:rsid w:val="0059063F"/>
    <w:rsid w:val="00592F88"/>
    <w:rsid w:val="00593475"/>
    <w:rsid w:val="005956AE"/>
    <w:rsid w:val="005959A0"/>
    <w:rsid w:val="005A16FD"/>
    <w:rsid w:val="005A2326"/>
    <w:rsid w:val="005A2836"/>
    <w:rsid w:val="005A4C54"/>
    <w:rsid w:val="005A53F6"/>
    <w:rsid w:val="005A6160"/>
    <w:rsid w:val="005A654F"/>
    <w:rsid w:val="005A7249"/>
    <w:rsid w:val="005B010A"/>
    <w:rsid w:val="005B0AA1"/>
    <w:rsid w:val="005B1B4D"/>
    <w:rsid w:val="005B25F2"/>
    <w:rsid w:val="005B2D80"/>
    <w:rsid w:val="005B4238"/>
    <w:rsid w:val="005B589C"/>
    <w:rsid w:val="005C0AB0"/>
    <w:rsid w:val="005C2337"/>
    <w:rsid w:val="005C2343"/>
    <w:rsid w:val="005D0746"/>
    <w:rsid w:val="005D0986"/>
    <w:rsid w:val="005D17EB"/>
    <w:rsid w:val="005D27F9"/>
    <w:rsid w:val="005D29CA"/>
    <w:rsid w:val="005D2AB7"/>
    <w:rsid w:val="005D3865"/>
    <w:rsid w:val="005D42BF"/>
    <w:rsid w:val="005D4702"/>
    <w:rsid w:val="005D5B47"/>
    <w:rsid w:val="005E10C8"/>
    <w:rsid w:val="005E1A57"/>
    <w:rsid w:val="005E35D0"/>
    <w:rsid w:val="005E470D"/>
    <w:rsid w:val="005E4A97"/>
    <w:rsid w:val="005E663A"/>
    <w:rsid w:val="005E6C2D"/>
    <w:rsid w:val="005F0CFB"/>
    <w:rsid w:val="005F14BC"/>
    <w:rsid w:val="005F4546"/>
    <w:rsid w:val="00601F29"/>
    <w:rsid w:val="006045D1"/>
    <w:rsid w:val="006069FF"/>
    <w:rsid w:val="00610613"/>
    <w:rsid w:val="00610A97"/>
    <w:rsid w:val="00610E92"/>
    <w:rsid w:val="00611D99"/>
    <w:rsid w:val="006131DA"/>
    <w:rsid w:val="00614021"/>
    <w:rsid w:val="00614F43"/>
    <w:rsid w:val="00616C26"/>
    <w:rsid w:val="00621FF4"/>
    <w:rsid w:val="0062297F"/>
    <w:rsid w:val="006233D8"/>
    <w:rsid w:val="006249FC"/>
    <w:rsid w:val="00627BB9"/>
    <w:rsid w:val="00632FA5"/>
    <w:rsid w:val="00633D89"/>
    <w:rsid w:val="0063531D"/>
    <w:rsid w:val="00636223"/>
    <w:rsid w:val="006363E9"/>
    <w:rsid w:val="00637545"/>
    <w:rsid w:val="00640584"/>
    <w:rsid w:val="00641492"/>
    <w:rsid w:val="0064351F"/>
    <w:rsid w:val="00644ECA"/>
    <w:rsid w:val="00645CE6"/>
    <w:rsid w:val="00645DF2"/>
    <w:rsid w:val="00646423"/>
    <w:rsid w:val="00647D5F"/>
    <w:rsid w:val="0065039F"/>
    <w:rsid w:val="00652388"/>
    <w:rsid w:val="006528C5"/>
    <w:rsid w:val="006554BB"/>
    <w:rsid w:val="006558F0"/>
    <w:rsid w:val="00656C08"/>
    <w:rsid w:val="00656CF2"/>
    <w:rsid w:val="00657139"/>
    <w:rsid w:val="00661E8C"/>
    <w:rsid w:val="0066238F"/>
    <w:rsid w:val="00662B06"/>
    <w:rsid w:val="00662E7A"/>
    <w:rsid w:val="00664CD2"/>
    <w:rsid w:val="0066542A"/>
    <w:rsid w:val="0066709F"/>
    <w:rsid w:val="00667280"/>
    <w:rsid w:val="00670AC1"/>
    <w:rsid w:val="006722DE"/>
    <w:rsid w:val="00673009"/>
    <w:rsid w:val="00673D79"/>
    <w:rsid w:val="00675838"/>
    <w:rsid w:val="00675DE1"/>
    <w:rsid w:val="0067643F"/>
    <w:rsid w:val="00676FD9"/>
    <w:rsid w:val="006800F1"/>
    <w:rsid w:val="00680AED"/>
    <w:rsid w:val="00681DB9"/>
    <w:rsid w:val="0068286A"/>
    <w:rsid w:val="006829F7"/>
    <w:rsid w:val="00682F78"/>
    <w:rsid w:val="00683DF7"/>
    <w:rsid w:val="00684A40"/>
    <w:rsid w:val="00684BFE"/>
    <w:rsid w:val="00686076"/>
    <w:rsid w:val="006905AA"/>
    <w:rsid w:val="00690C7A"/>
    <w:rsid w:val="0069146A"/>
    <w:rsid w:val="00692124"/>
    <w:rsid w:val="006940F6"/>
    <w:rsid w:val="006963E5"/>
    <w:rsid w:val="006A1EBE"/>
    <w:rsid w:val="006A37D2"/>
    <w:rsid w:val="006A62A3"/>
    <w:rsid w:val="006A6488"/>
    <w:rsid w:val="006A66D6"/>
    <w:rsid w:val="006A7E60"/>
    <w:rsid w:val="006B01A0"/>
    <w:rsid w:val="006B2DBD"/>
    <w:rsid w:val="006B31B1"/>
    <w:rsid w:val="006B4302"/>
    <w:rsid w:val="006B4C1D"/>
    <w:rsid w:val="006B668A"/>
    <w:rsid w:val="006B67F6"/>
    <w:rsid w:val="006B7CFD"/>
    <w:rsid w:val="006B7EF2"/>
    <w:rsid w:val="006C0972"/>
    <w:rsid w:val="006C0C24"/>
    <w:rsid w:val="006C1244"/>
    <w:rsid w:val="006C2007"/>
    <w:rsid w:val="006C2EFE"/>
    <w:rsid w:val="006C34D2"/>
    <w:rsid w:val="006C43BF"/>
    <w:rsid w:val="006C5423"/>
    <w:rsid w:val="006C65DD"/>
    <w:rsid w:val="006C6674"/>
    <w:rsid w:val="006C7049"/>
    <w:rsid w:val="006D275A"/>
    <w:rsid w:val="006D552F"/>
    <w:rsid w:val="006D5688"/>
    <w:rsid w:val="006D59B1"/>
    <w:rsid w:val="006D67C6"/>
    <w:rsid w:val="006D6ED5"/>
    <w:rsid w:val="006D7F81"/>
    <w:rsid w:val="006E1A53"/>
    <w:rsid w:val="006E2107"/>
    <w:rsid w:val="006E28A9"/>
    <w:rsid w:val="006E5490"/>
    <w:rsid w:val="006E72AE"/>
    <w:rsid w:val="006E7AB8"/>
    <w:rsid w:val="006E7F1B"/>
    <w:rsid w:val="006F023C"/>
    <w:rsid w:val="006F068C"/>
    <w:rsid w:val="006F0A6A"/>
    <w:rsid w:val="006F21D3"/>
    <w:rsid w:val="006F2225"/>
    <w:rsid w:val="006F29DD"/>
    <w:rsid w:val="006F330B"/>
    <w:rsid w:val="006F347A"/>
    <w:rsid w:val="006F6376"/>
    <w:rsid w:val="006F6EC1"/>
    <w:rsid w:val="0070080D"/>
    <w:rsid w:val="00700865"/>
    <w:rsid w:val="00703A3A"/>
    <w:rsid w:val="00704008"/>
    <w:rsid w:val="0070641B"/>
    <w:rsid w:val="00706B17"/>
    <w:rsid w:val="007070A6"/>
    <w:rsid w:val="00713B9D"/>
    <w:rsid w:val="00715505"/>
    <w:rsid w:val="00717719"/>
    <w:rsid w:val="007236B3"/>
    <w:rsid w:val="00723DD9"/>
    <w:rsid w:val="00724173"/>
    <w:rsid w:val="00724F7E"/>
    <w:rsid w:val="00726A3F"/>
    <w:rsid w:val="00731DD1"/>
    <w:rsid w:val="007325BF"/>
    <w:rsid w:val="00733250"/>
    <w:rsid w:val="0073326D"/>
    <w:rsid w:val="007333CA"/>
    <w:rsid w:val="007336CD"/>
    <w:rsid w:val="00735105"/>
    <w:rsid w:val="007353FA"/>
    <w:rsid w:val="00735DA1"/>
    <w:rsid w:val="007369C4"/>
    <w:rsid w:val="00737408"/>
    <w:rsid w:val="007376D5"/>
    <w:rsid w:val="007404B1"/>
    <w:rsid w:val="00741792"/>
    <w:rsid w:val="00741BD0"/>
    <w:rsid w:val="00741D0F"/>
    <w:rsid w:val="007420FD"/>
    <w:rsid w:val="00742556"/>
    <w:rsid w:val="0074480D"/>
    <w:rsid w:val="0074488F"/>
    <w:rsid w:val="00745BAD"/>
    <w:rsid w:val="00747F24"/>
    <w:rsid w:val="007519FE"/>
    <w:rsid w:val="00754320"/>
    <w:rsid w:val="007562A6"/>
    <w:rsid w:val="00756446"/>
    <w:rsid w:val="00760DEF"/>
    <w:rsid w:val="00762DC5"/>
    <w:rsid w:val="00763CA6"/>
    <w:rsid w:val="007659C1"/>
    <w:rsid w:val="00766CEF"/>
    <w:rsid w:val="00767251"/>
    <w:rsid w:val="0076797F"/>
    <w:rsid w:val="00770AF1"/>
    <w:rsid w:val="0077136A"/>
    <w:rsid w:val="00772097"/>
    <w:rsid w:val="007726E9"/>
    <w:rsid w:val="00772A1C"/>
    <w:rsid w:val="00772B08"/>
    <w:rsid w:val="007754CE"/>
    <w:rsid w:val="00775D56"/>
    <w:rsid w:val="00780243"/>
    <w:rsid w:val="00782C08"/>
    <w:rsid w:val="00782E4B"/>
    <w:rsid w:val="007838A5"/>
    <w:rsid w:val="00783ACC"/>
    <w:rsid w:val="00783CCD"/>
    <w:rsid w:val="007856D6"/>
    <w:rsid w:val="007860E0"/>
    <w:rsid w:val="007868CA"/>
    <w:rsid w:val="00787418"/>
    <w:rsid w:val="00790332"/>
    <w:rsid w:val="007903FB"/>
    <w:rsid w:val="007906C8"/>
    <w:rsid w:val="007915C9"/>
    <w:rsid w:val="00792F4E"/>
    <w:rsid w:val="007930EC"/>
    <w:rsid w:val="00793481"/>
    <w:rsid w:val="00794345"/>
    <w:rsid w:val="0079506F"/>
    <w:rsid w:val="007953E1"/>
    <w:rsid w:val="00795555"/>
    <w:rsid w:val="00797E62"/>
    <w:rsid w:val="007A1556"/>
    <w:rsid w:val="007A235C"/>
    <w:rsid w:val="007A254C"/>
    <w:rsid w:val="007A3542"/>
    <w:rsid w:val="007A4A79"/>
    <w:rsid w:val="007A55E2"/>
    <w:rsid w:val="007A5A5A"/>
    <w:rsid w:val="007A6D54"/>
    <w:rsid w:val="007B2415"/>
    <w:rsid w:val="007B32A9"/>
    <w:rsid w:val="007B3DEA"/>
    <w:rsid w:val="007B441A"/>
    <w:rsid w:val="007B5602"/>
    <w:rsid w:val="007B6729"/>
    <w:rsid w:val="007B689B"/>
    <w:rsid w:val="007B7D6F"/>
    <w:rsid w:val="007C057F"/>
    <w:rsid w:val="007C2D7D"/>
    <w:rsid w:val="007C3681"/>
    <w:rsid w:val="007C3A78"/>
    <w:rsid w:val="007C57FD"/>
    <w:rsid w:val="007C7B38"/>
    <w:rsid w:val="007D2A54"/>
    <w:rsid w:val="007D2C1D"/>
    <w:rsid w:val="007D2CA8"/>
    <w:rsid w:val="007D34E2"/>
    <w:rsid w:val="007D56AD"/>
    <w:rsid w:val="007D5A39"/>
    <w:rsid w:val="007D61A3"/>
    <w:rsid w:val="007D6226"/>
    <w:rsid w:val="007D6227"/>
    <w:rsid w:val="007D6A39"/>
    <w:rsid w:val="007E03AD"/>
    <w:rsid w:val="007E6A0D"/>
    <w:rsid w:val="007E761B"/>
    <w:rsid w:val="007F2205"/>
    <w:rsid w:val="007F2D07"/>
    <w:rsid w:val="007F3338"/>
    <w:rsid w:val="007F3AAF"/>
    <w:rsid w:val="007F4896"/>
    <w:rsid w:val="007F5562"/>
    <w:rsid w:val="007F579D"/>
    <w:rsid w:val="007F6D54"/>
    <w:rsid w:val="007F6DD3"/>
    <w:rsid w:val="007F77CA"/>
    <w:rsid w:val="00803331"/>
    <w:rsid w:val="00804D22"/>
    <w:rsid w:val="00804DAA"/>
    <w:rsid w:val="00810457"/>
    <w:rsid w:val="0081078C"/>
    <w:rsid w:val="00811EAC"/>
    <w:rsid w:val="0081248F"/>
    <w:rsid w:val="00815854"/>
    <w:rsid w:val="00815ED2"/>
    <w:rsid w:val="00816555"/>
    <w:rsid w:val="008201A3"/>
    <w:rsid w:val="00822478"/>
    <w:rsid w:val="008224CC"/>
    <w:rsid w:val="00822806"/>
    <w:rsid w:val="00822CB4"/>
    <w:rsid w:val="00823490"/>
    <w:rsid w:val="00824310"/>
    <w:rsid w:val="00830D33"/>
    <w:rsid w:val="008365C8"/>
    <w:rsid w:val="0084129E"/>
    <w:rsid w:val="0084157F"/>
    <w:rsid w:val="008415DD"/>
    <w:rsid w:val="008434B1"/>
    <w:rsid w:val="00844F1A"/>
    <w:rsid w:val="008452B8"/>
    <w:rsid w:val="00845C96"/>
    <w:rsid w:val="00845DF1"/>
    <w:rsid w:val="0084708C"/>
    <w:rsid w:val="008477BC"/>
    <w:rsid w:val="00850E4E"/>
    <w:rsid w:val="00852822"/>
    <w:rsid w:val="00852B08"/>
    <w:rsid w:val="0085320C"/>
    <w:rsid w:val="0085427D"/>
    <w:rsid w:val="00854850"/>
    <w:rsid w:val="00854B21"/>
    <w:rsid w:val="00854E33"/>
    <w:rsid w:val="008554A4"/>
    <w:rsid w:val="00855CD1"/>
    <w:rsid w:val="00860B0A"/>
    <w:rsid w:val="00861579"/>
    <w:rsid w:val="0086260D"/>
    <w:rsid w:val="008641FD"/>
    <w:rsid w:val="008644BD"/>
    <w:rsid w:val="00864D35"/>
    <w:rsid w:val="00865DC5"/>
    <w:rsid w:val="008669D8"/>
    <w:rsid w:val="00867242"/>
    <w:rsid w:val="00871194"/>
    <w:rsid w:val="0087220E"/>
    <w:rsid w:val="0087245A"/>
    <w:rsid w:val="00872711"/>
    <w:rsid w:val="00872A1F"/>
    <w:rsid w:val="00872C78"/>
    <w:rsid w:val="008747A3"/>
    <w:rsid w:val="008759AF"/>
    <w:rsid w:val="00875E08"/>
    <w:rsid w:val="008767E4"/>
    <w:rsid w:val="008769B1"/>
    <w:rsid w:val="00881E37"/>
    <w:rsid w:val="00882A15"/>
    <w:rsid w:val="00884697"/>
    <w:rsid w:val="00884810"/>
    <w:rsid w:val="008853FD"/>
    <w:rsid w:val="008859AC"/>
    <w:rsid w:val="00885F23"/>
    <w:rsid w:val="0089118F"/>
    <w:rsid w:val="00892B8B"/>
    <w:rsid w:val="00892E1A"/>
    <w:rsid w:val="00893C1F"/>
    <w:rsid w:val="008941A1"/>
    <w:rsid w:val="008957B6"/>
    <w:rsid w:val="0089593C"/>
    <w:rsid w:val="00895DCD"/>
    <w:rsid w:val="008978C0"/>
    <w:rsid w:val="00897B0D"/>
    <w:rsid w:val="008A032B"/>
    <w:rsid w:val="008A0A62"/>
    <w:rsid w:val="008A0C6B"/>
    <w:rsid w:val="008A1AE7"/>
    <w:rsid w:val="008A2B0C"/>
    <w:rsid w:val="008A2CE9"/>
    <w:rsid w:val="008A5EBC"/>
    <w:rsid w:val="008A6717"/>
    <w:rsid w:val="008A6F3A"/>
    <w:rsid w:val="008B2698"/>
    <w:rsid w:val="008B272C"/>
    <w:rsid w:val="008B4753"/>
    <w:rsid w:val="008B592D"/>
    <w:rsid w:val="008B647E"/>
    <w:rsid w:val="008C0419"/>
    <w:rsid w:val="008C0813"/>
    <w:rsid w:val="008C083A"/>
    <w:rsid w:val="008C2279"/>
    <w:rsid w:val="008C2FFB"/>
    <w:rsid w:val="008C4B5A"/>
    <w:rsid w:val="008C4E26"/>
    <w:rsid w:val="008C52BD"/>
    <w:rsid w:val="008C68EC"/>
    <w:rsid w:val="008C6D87"/>
    <w:rsid w:val="008D248D"/>
    <w:rsid w:val="008D3114"/>
    <w:rsid w:val="008D5995"/>
    <w:rsid w:val="008D7A2F"/>
    <w:rsid w:val="008E06CA"/>
    <w:rsid w:val="008E24C5"/>
    <w:rsid w:val="008E2629"/>
    <w:rsid w:val="008E29E7"/>
    <w:rsid w:val="008E2AEC"/>
    <w:rsid w:val="008E3CF5"/>
    <w:rsid w:val="008E4209"/>
    <w:rsid w:val="008E5871"/>
    <w:rsid w:val="008E66FC"/>
    <w:rsid w:val="008E7DE2"/>
    <w:rsid w:val="008F06D8"/>
    <w:rsid w:val="008F0B20"/>
    <w:rsid w:val="008F1817"/>
    <w:rsid w:val="008F22DA"/>
    <w:rsid w:val="008F3150"/>
    <w:rsid w:val="008F6662"/>
    <w:rsid w:val="008F7598"/>
    <w:rsid w:val="008F7A45"/>
    <w:rsid w:val="009025AC"/>
    <w:rsid w:val="0090267C"/>
    <w:rsid w:val="00904D22"/>
    <w:rsid w:val="00905568"/>
    <w:rsid w:val="00906990"/>
    <w:rsid w:val="00906FAA"/>
    <w:rsid w:val="00913BA9"/>
    <w:rsid w:val="00914038"/>
    <w:rsid w:val="00915527"/>
    <w:rsid w:val="009166C5"/>
    <w:rsid w:val="009209B9"/>
    <w:rsid w:val="00922488"/>
    <w:rsid w:val="0092352C"/>
    <w:rsid w:val="00926A1A"/>
    <w:rsid w:val="00926D97"/>
    <w:rsid w:val="00926E17"/>
    <w:rsid w:val="00927C88"/>
    <w:rsid w:val="009301A9"/>
    <w:rsid w:val="0093091C"/>
    <w:rsid w:val="00931C19"/>
    <w:rsid w:val="009329A3"/>
    <w:rsid w:val="009344EB"/>
    <w:rsid w:val="00935ED8"/>
    <w:rsid w:val="00936D02"/>
    <w:rsid w:val="009406CA"/>
    <w:rsid w:val="00940F8D"/>
    <w:rsid w:val="009417C8"/>
    <w:rsid w:val="00945CEF"/>
    <w:rsid w:val="00950CFC"/>
    <w:rsid w:val="00952D1B"/>
    <w:rsid w:val="00954779"/>
    <w:rsid w:val="00955890"/>
    <w:rsid w:val="00956467"/>
    <w:rsid w:val="00957089"/>
    <w:rsid w:val="00957416"/>
    <w:rsid w:val="00960424"/>
    <w:rsid w:val="009612A1"/>
    <w:rsid w:val="00961B18"/>
    <w:rsid w:val="0096315A"/>
    <w:rsid w:val="009643EB"/>
    <w:rsid w:val="00967120"/>
    <w:rsid w:val="00967C74"/>
    <w:rsid w:val="00972E4D"/>
    <w:rsid w:val="00973239"/>
    <w:rsid w:val="009734D9"/>
    <w:rsid w:val="0097582D"/>
    <w:rsid w:val="009761E1"/>
    <w:rsid w:val="00976FE8"/>
    <w:rsid w:val="009775E6"/>
    <w:rsid w:val="00977737"/>
    <w:rsid w:val="00980338"/>
    <w:rsid w:val="00980612"/>
    <w:rsid w:val="009811B9"/>
    <w:rsid w:val="00981540"/>
    <w:rsid w:val="00981C74"/>
    <w:rsid w:val="0098589B"/>
    <w:rsid w:val="009868C4"/>
    <w:rsid w:val="00987CB1"/>
    <w:rsid w:val="00987E5D"/>
    <w:rsid w:val="00987FCC"/>
    <w:rsid w:val="00991F0F"/>
    <w:rsid w:val="009920BF"/>
    <w:rsid w:val="009924C9"/>
    <w:rsid w:val="009938D5"/>
    <w:rsid w:val="00994391"/>
    <w:rsid w:val="00994F33"/>
    <w:rsid w:val="00995437"/>
    <w:rsid w:val="009956D6"/>
    <w:rsid w:val="00995E02"/>
    <w:rsid w:val="00996FA6"/>
    <w:rsid w:val="009A1123"/>
    <w:rsid w:val="009A11D0"/>
    <w:rsid w:val="009A16E8"/>
    <w:rsid w:val="009A2004"/>
    <w:rsid w:val="009A20CA"/>
    <w:rsid w:val="009A2805"/>
    <w:rsid w:val="009A32DA"/>
    <w:rsid w:val="009A6266"/>
    <w:rsid w:val="009A727A"/>
    <w:rsid w:val="009A78F5"/>
    <w:rsid w:val="009A7D38"/>
    <w:rsid w:val="009B125C"/>
    <w:rsid w:val="009B53BE"/>
    <w:rsid w:val="009C0394"/>
    <w:rsid w:val="009C1100"/>
    <w:rsid w:val="009C1618"/>
    <w:rsid w:val="009C2135"/>
    <w:rsid w:val="009C2A6C"/>
    <w:rsid w:val="009C31CD"/>
    <w:rsid w:val="009C3F78"/>
    <w:rsid w:val="009C503C"/>
    <w:rsid w:val="009C5121"/>
    <w:rsid w:val="009C7E80"/>
    <w:rsid w:val="009D0513"/>
    <w:rsid w:val="009D16DD"/>
    <w:rsid w:val="009D25FE"/>
    <w:rsid w:val="009D394D"/>
    <w:rsid w:val="009D4AEB"/>
    <w:rsid w:val="009D5284"/>
    <w:rsid w:val="009D5612"/>
    <w:rsid w:val="009D6B5B"/>
    <w:rsid w:val="009D761A"/>
    <w:rsid w:val="009D7647"/>
    <w:rsid w:val="009D7EBF"/>
    <w:rsid w:val="009E068B"/>
    <w:rsid w:val="009E1026"/>
    <w:rsid w:val="009E28A5"/>
    <w:rsid w:val="009E2934"/>
    <w:rsid w:val="009E3036"/>
    <w:rsid w:val="009E3671"/>
    <w:rsid w:val="009E47DF"/>
    <w:rsid w:val="009E50AA"/>
    <w:rsid w:val="009E6255"/>
    <w:rsid w:val="009E6487"/>
    <w:rsid w:val="009E763B"/>
    <w:rsid w:val="00A00252"/>
    <w:rsid w:val="00A006F5"/>
    <w:rsid w:val="00A0276A"/>
    <w:rsid w:val="00A03B0E"/>
    <w:rsid w:val="00A03BF0"/>
    <w:rsid w:val="00A05189"/>
    <w:rsid w:val="00A07BEC"/>
    <w:rsid w:val="00A10954"/>
    <w:rsid w:val="00A11843"/>
    <w:rsid w:val="00A1316D"/>
    <w:rsid w:val="00A166E7"/>
    <w:rsid w:val="00A171CC"/>
    <w:rsid w:val="00A17DD2"/>
    <w:rsid w:val="00A22B75"/>
    <w:rsid w:val="00A23D21"/>
    <w:rsid w:val="00A242ED"/>
    <w:rsid w:val="00A254DC"/>
    <w:rsid w:val="00A31B35"/>
    <w:rsid w:val="00A3308A"/>
    <w:rsid w:val="00A34C3A"/>
    <w:rsid w:val="00A34FB5"/>
    <w:rsid w:val="00A356D9"/>
    <w:rsid w:val="00A43AB7"/>
    <w:rsid w:val="00A45413"/>
    <w:rsid w:val="00A45ED7"/>
    <w:rsid w:val="00A46131"/>
    <w:rsid w:val="00A46D23"/>
    <w:rsid w:val="00A47711"/>
    <w:rsid w:val="00A50FA9"/>
    <w:rsid w:val="00A511A7"/>
    <w:rsid w:val="00A513B9"/>
    <w:rsid w:val="00A51F98"/>
    <w:rsid w:val="00A51FDF"/>
    <w:rsid w:val="00A5282F"/>
    <w:rsid w:val="00A54766"/>
    <w:rsid w:val="00A55C14"/>
    <w:rsid w:val="00A567F0"/>
    <w:rsid w:val="00A56DA9"/>
    <w:rsid w:val="00A5771A"/>
    <w:rsid w:val="00A613CE"/>
    <w:rsid w:val="00A61809"/>
    <w:rsid w:val="00A62302"/>
    <w:rsid w:val="00A62B18"/>
    <w:rsid w:val="00A63B3B"/>
    <w:rsid w:val="00A65094"/>
    <w:rsid w:val="00A67323"/>
    <w:rsid w:val="00A70B00"/>
    <w:rsid w:val="00A7167C"/>
    <w:rsid w:val="00A71E93"/>
    <w:rsid w:val="00A72724"/>
    <w:rsid w:val="00A73C31"/>
    <w:rsid w:val="00A742A5"/>
    <w:rsid w:val="00A74BCB"/>
    <w:rsid w:val="00A812E0"/>
    <w:rsid w:val="00A81CD1"/>
    <w:rsid w:val="00A824C3"/>
    <w:rsid w:val="00A83411"/>
    <w:rsid w:val="00A83594"/>
    <w:rsid w:val="00A84FB8"/>
    <w:rsid w:val="00A8633C"/>
    <w:rsid w:val="00A86E05"/>
    <w:rsid w:val="00A873EB"/>
    <w:rsid w:val="00A911B1"/>
    <w:rsid w:val="00A93A41"/>
    <w:rsid w:val="00A93F3B"/>
    <w:rsid w:val="00A95236"/>
    <w:rsid w:val="00A95EAA"/>
    <w:rsid w:val="00AA0331"/>
    <w:rsid w:val="00AA1848"/>
    <w:rsid w:val="00AA274C"/>
    <w:rsid w:val="00AA2A1D"/>
    <w:rsid w:val="00AA4773"/>
    <w:rsid w:val="00AA4E09"/>
    <w:rsid w:val="00AA4EE4"/>
    <w:rsid w:val="00AA53B1"/>
    <w:rsid w:val="00AA5848"/>
    <w:rsid w:val="00AA659A"/>
    <w:rsid w:val="00AA6FE1"/>
    <w:rsid w:val="00AA78AE"/>
    <w:rsid w:val="00AB102B"/>
    <w:rsid w:val="00AB27A1"/>
    <w:rsid w:val="00AB3381"/>
    <w:rsid w:val="00AB4DB6"/>
    <w:rsid w:val="00AB53B3"/>
    <w:rsid w:val="00AB5F9A"/>
    <w:rsid w:val="00AC246E"/>
    <w:rsid w:val="00AC36FB"/>
    <w:rsid w:val="00AC4BDF"/>
    <w:rsid w:val="00AC4CBD"/>
    <w:rsid w:val="00AC5218"/>
    <w:rsid w:val="00AC61D3"/>
    <w:rsid w:val="00AC7065"/>
    <w:rsid w:val="00AC74A2"/>
    <w:rsid w:val="00AD02FB"/>
    <w:rsid w:val="00AD1055"/>
    <w:rsid w:val="00AD207B"/>
    <w:rsid w:val="00AD30C7"/>
    <w:rsid w:val="00AD75A6"/>
    <w:rsid w:val="00AD7A85"/>
    <w:rsid w:val="00AE12E3"/>
    <w:rsid w:val="00AE1C5B"/>
    <w:rsid w:val="00AE2929"/>
    <w:rsid w:val="00AE2FFE"/>
    <w:rsid w:val="00AE3251"/>
    <w:rsid w:val="00AE380A"/>
    <w:rsid w:val="00AE3D70"/>
    <w:rsid w:val="00AE4725"/>
    <w:rsid w:val="00AE54E1"/>
    <w:rsid w:val="00AE6093"/>
    <w:rsid w:val="00AE792B"/>
    <w:rsid w:val="00AF03E9"/>
    <w:rsid w:val="00AF0AEF"/>
    <w:rsid w:val="00AF1E2A"/>
    <w:rsid w:val="00AF2A34"/>
    <w:rsid w:val="00AF34F9"/>
    <w:rsid w:val="00AF3B24"/>
    <w:rsid w:val="00AF55A6"/>
    <w:rsid w:val="00AF7BFE"/>
    <w:rsid w:val="00B011C2"/>
    <w:rsid w:val="00B03975"/>
    <w:rsid w:val="00B042E7"/>
    <w:rsid w:val="00B050A3"/>
    <w:rsid w:val="00B06C72"/>
    <w:rsid w:val="00B110CC"/>
    <w:rsid w:val="00B1112F"/>
    <w:rsid w:val="00B119D1"/>
    <w:rsid w:val="00B12A7B"/>
    <w:rsid w:val="00B144D6"/>
    <w:rsid w:val="00B162B7"/>
    <w:rsid w:val="00B201DC"/>
    <w:rsid w:val="00B226F6"/>
    <w:rsid w:val="00B246ED"/>
    <w:rsid w:val="00B24F7C"/>
    <w:rsid w:val="00B25351"/>
    <w:rsid w:val="00B26557"/>
    <w:rsid w:val="00B26682"/>
    <w:rsid w:val="00B31A90"/>
    <w:rsid w:val="00B3299A"/>
    <w:rsid w:val="00B3440C"/>
    <w:rsid w:val="00B3596F"/>
    <w:rsid w:val="00B35E14"/>
    <w:rsid w:val="00B36569"/>
    <w:rsid w:val="00B36598"/>
    <w:rsid w:val="00B36923"/>
    <w:rsid w:val="00B36E37"/>
    <w:rsid w:val="00B3737D"/>
    <w:rsid w:val="00B40313"/>
    <w:rsid w:val="00B403B8"/>
    <w:rsid w:val="00B4250B"/>
    <w:rsid w:val="00B44049"/>
    <w:rsid w:val="00B44FD3"/>
    <w:rsid w:val="00B46D34"/>
    <w:rsid w:val="00B47744"/>
    <w:rsid w:val="00B503B7"/>
    <w:rsid w:val="00B536AD"/>
    <w:rsid w:val="00B53952"/>
    <w:rsid w:val="00B55DA8"/>
    <w:rsid w:val="00B55F3C"/>
    <w:rsid w:val="00B56035"/>
    <w:rsid w:val="00B62054"/>
    <w:rsid w:val="00B62FE2"/>
    <w:rsid w:val="00B652C1"/>
    <w:rsid w:val="00B6543D"/>
    <w:rsid w:val="00B663A5"/>
    <w:rsid w:val="00B67395"/>
    <w:rsid w:val="00B679C4"/>
    <w:rsid w:val="00B67FC1"/>
    <w:rsid w:val="00B67FE9"/>
    <w:rsid w:val="00B716B4"/>
    <w:rsid w:val="00B71C8D"/>
    <w:rsid w:val="00B724A8"/>
    <w:rsid w:val="00B74CE9"/>
    <w:rsid w:val="00B7611A"/>
    <w:rsid w:val="00B765EB"/>
    <w:rsid w:val="00B76958"/>
    <w:rsid w:val="00B76B40"/>
    <w:rsid w:val="00B77D8D"/>
    <w:rsid w:val="00B84F06"/>
    <w:rsid w:val="00B851A5"/>
    <w:rsid w:val="00B858E9"/>
    <w:rsid w:val="00B85986"/>
    <w:rsid w:val="00B85C7E"/>
    <w:rsid w:val="00B86BBC"/>
    <w:rsid w:val="00B87914"/>
    <w:rsid w:val="00B87D80"/>
    <w:rsid w:val="00B90A85"/>
    <w:rsid w:val="00B92336"/>
    <w:rsid w:val="00B92C36"/>
    <w:rsid w:val="00B92DA6"/>
    <w:rsid w:val="00B95738"/>
    <w:rsid w:val="00B9676D"/>
    <w:rsid w:val="00B97C3C"/>
    <w:rsid w:val="00BA03B8"/>
    <w:rsid w:val="00BA2BA7"/>
    <w:rsid w:val="00BA3F4F"/>
    <w:rsid w:val="00BA4891"/>
    <w:rsid w:val="00BB562C"/>
    <w:rsid w:val="00BB5760"/>
    <w:rsid w:val="00BB64E9"/>
    <w:rsid w:val="00BB6BB9"/>
    <w:rsid w:val="00BC07B5"/>
    <w:rsid w:val="00BC11E9"/>
    <w:rsid w:val="00BC1776"/>
    <w:rsid w:val="00BC64E9"/>
    <w:rsid w:val="00BC7B30"/>
    <w:rsid w:val="00BC7F0D"/>
    <w:rsid w:val="00BD0690"/>
    <w:rsid w:val="00BD0EF8"/>
    <w:rsid w:val="00BD1C66"/>
    <w:rsid w:val="00BD202D"/>
    <w:rsid w:val="00BD2ABB"/>
    <w:rsid w:val="00BD3B3D"/>
    <w:rsid w:val="00BD452A"/>
    <w:rsid w:val="00BD4CEE"/>
    <w:rsid w:val="00BD5673"/>
    <w:rsid w:val="00BE41E6"/>
    <w:rsid w:val="00BE4C81"/>
    <w:rsid w:val="00BE50DA"/>
    <w:rsid w:val="00BE7098"/>
    <w:rsid w:val="00BF02ED"/>
    <w:rsid w:val="00BF3D3E"/>
    <w:rsid w:val="00BF4498"/>
    <w:rsid w:val="00BF5888"/>
    <w:rsid w:val="00BF5CAE"/>
    <w:rsid w:val="00BF69B9"/>
    <w:rsid w:val="00BF6ED6"/>
    <w:rsid w:val="00BF7373"/>
    <w:rsid w:val="00BF7F72"/>
    <w:rsid w:val="00C02105"/>
    <w:rsid w:val="00C02D29"/>
    <w:rsid w:val="00C039DB"/>
    <w:rsid w:val="00C05A67"/>
    <w:rsid w:val="00C0740D"/>
    <w:rsid w:val="00C10210"/>
    <w:rsid w:val="00C12535"/>
    <w:rsid w:val="00C14D9C"/>
    <w:rsid w:val="00C15895"/>
    <w:rsid w:val="00C15E12"/>
    <w:rsid w:val="00C16A3E"/>
    <w:rsid w:val="00C17013"/>
    <w:rsid w:val="00C228A4"/>
    <w:rsid w:val="00C229F1"/>
    <w:rsid w:val="00C23A86"/>
    <w:rsid w:val="00C25042"/>
    <w:rsid w:val="00C26BA5"/>
    <w:rsid w:val="00C26CFD"/>
    <w:rsid w:val="00C26DDB"/>
    <w:rsid w:val="00C272A4"/>
    <w:rsid w:val="00C309F8"/>
    <w:rsid w:val="00C3114B"/>
    <w:rsid w:val="00C31352"/>
    <w:rsid w:val="00C31EA6"/>
    <w:rsid w:val="00C32EF9"/>
    <w:rsid w:val="00C33CA3"/>
    <w:rsid w:val="00C345A5"/>
    <w:rsid w:val="00C34B24"/>
    <w:rsid w:val="00C361DF"/>
    <w:rsid w:val="00C379A5"/>
    <w:rsid w:val="00C40A1B"/>
    <w:rsid w:val="00C4172A"/>
    <w:rsid w:val="00C41E25"/>
    <w:rsid w:val="00C4282B"/>
    <w:rsid w:val="00C43915"/>
    <w:rsid w:val="00C44652"/>
    <w:rsid w:val="00C46F3D"/>
    <w:rsid w:val="00C51596"/>
    <w:rsid w:val="00C541CA"/>
    <w:rsid w:val="00C548AE"/>
    <w:rsid w:val="00C5530A"/>
    <w:rsid w:val="00C565F3"/>
    <w:rsid w:val="00C600B7"/>
    <w:rsid w:val="00C6147F"/>
    <w:rsid w:val="00C61E22"/>
    <w:rsid w:val="00C61F9E"/>
    <w:rsid w:val="00C624A0"/>
    <w:rsid w:val="00C624AA"/>
    <w:rsid w:val="00C626D2"/>
    <w:rsid w:val="00C63306"/>
    <w:rsid w:val="00C63A8B"/>
    <w:rsid w:val="00C6584E"/>
    <w:rsid w:val="00C66A12"/>
    <w:rsid w:val="00C66DC9"/>
    <w:rsid w:val="00C679A1"/>
    <w:rsid w:val="00C73C5E"/>
    <w:rsid w:val="00C7539A"/>
    <w:rsid w:val="00C75B07"/>
    <w:rsid w:val="00C77507"/>
    <w:rsid w:val="00C815C5"/>
    <w:rsid w:val="00C818C7"/>
    <w:rsid w:val="00C85BA7"/>
    <w:rsid w:val="00C85C6C"/>
    <w:rsid w:val="00C871B2"/>
    <w:rsid w:val="00C904EF"/>
    <w:rsid w:val="00C91744"/>
    <w:rsid w:val="00C9186A"/>
    <w:rsid w:val="00C9186E"/>
    <w:rsid w:val="00C9354C"/>
    <w:rsid w:val="00C93873"/>
    <w:rsid w:val="00C948C0"/>
    <w:rsid w:val="00C95B31"/>
    <w:rsid w:val="00C95D72"/>
    <w:rsid w:val="00C97802"/>
    <w:rsid w:val="00C97954"/>
    <w:rsid w:val="00CA070F"/>
    <w:rsid w:val="00CA0CF7"/>
    <w:rsid w:val="00CA439E"/>
    <w:rsid w:val="00CA456E"/>
    <w:rsid w:val="00CA4A21"/>
    <w:rsid w:val="00CA4C54"/>
    <w:rsid w:val="00CA4FB3"/>
    <w:rsid w:val="00CA7219"/>
    <w:rsid w:val="00CA7523"/>
    <w:rsid w:val="00CB000F"/>
    <w:rsid w:val="00CB09B5"/>
    <w:rsid w:val="00CB0D70"/>
    <w:rsid w:val="00CB0F60"/>
    <w:rsid w:val="00CB18D6"/>
    <w:rsid w:val="00CB1B07"/>
    <w:rsid w:val="00CB321E"/>
    <w:rsid w:val="00CB3384"/>
    <w:rsid w:val="00CB3BD3"/>
    <w:rsid w:val="00CB58C3"/>
    <w:rsid w:val="00CB5B44"/>
    <w:rsid w:val="00CC00EA"/>
    <w:rsid w:val="00CC1523"/>
    <w:rsid w:val="00CC1E35"/>
    <w:rsid w:val="00CC27A4"/>
    <w:rsid w:val="00CC3216"/>
    <w:rsid w:val="00CC3A25"/>
    <w:rsid w:val="00CC3B8A"/>
    <w:rsid w:val="00CC3CC2"/>
    <w:rsid w:val="00CC53C9"/>
    <w:rsid w:val="00CC785B"/>
    <w:rsid w:val="00CC7FD3"/>
    <w:rsid w:val="00CD13D9"/>
    <w:rsid w:val="00CD1479"/>
    <w:rsid w:val="00CD3140"/>
    <w:rsid w:val="00CD4F12"/>
    <w:rsid w:val="00CD6178"/>
    <w:rsid w:val="00CD77EB"/>
    <w:rsid w:val="00CE06E1"/>
    <w:rsid w:val="00CE0CAF"/>
    <w:rsid w:val="00CE0DCE"/>
    <w:rsid w:val="00CE0DE9"/>
    <w:rsid w:val="00CE185D"/>
    <w:rsid w:val="00CE188B"/>
    <w:rsid w:val="00CE1A0E"/>
    <w:rsid w:val="00CE1F1F"/>
    <w:rsid w:val="00CE25A1"/>
    <w:rsid w:val="00CE2E27"/>
    <w:rsid w:val="00CE3502"/>
    <w:rsid w:val="00CE4716"/>
    <w:rsid w:val="00CE58C3"/>
    <w:rsid w:val="00CE59E4"/>
    <w:rsid w:val="00CE66F0"/>
    <w:rsid w:val="00CE6CC3"/>
    <w:rsid w:val="00CE6D3E"/>
    <w:rsid w:val="00CE6F7A"/>
    <w:rsid w:val="00CF08B7"/>
    <w:rsid w:val="00CF1F13"/>
    <w:rsid w:val="00CF6F28"/>
    <w:rsid w:val="00CF7416"/>
    <w:rsid w:val="00CF7BAD"/>
    <w:rsid w:val="00D00271"/>
    <w:rsid w:val="00D00374"/>
    <w:rsid w:val="00D00C7D"/>
    <w:rsid w:val="00D00F18"/>
    <w:rsid w:val="00D02BBA"/>
    <w:rsid w:val="00D02C4C"/>
    <w:rsid w:val="00D118E1"/>
    <w:rsid w:val="00D12DF2"/>
    <w:rsid w:val="00D16671"/>
    <w:rsid w:val="00D17F67"/>
    <w:rsid w:val="00D20914"/>
    <w:rsid w:val="00D20CC8"/>
    <w:rsid w:val="00D21842"/>
    <w:rsid w:val="00D222E5"/>
    <w:rsid w:val="00D22D5D"/>
    <w:rsid w:val="00D24965"/>
    <w:rsid w:val="00D255FF"/>
    <w:rsid w:val="00D269BD"/>
    <w:rsid w:val="00D27067"/>
    <w:rsid w:val="00D270BF"/>
    <w:rsid w:val="00D2777E"/>
    <w:rsid w:val="00D311B3"/>
    <w:rsid w:val="00D31476"/>
    <w:rsid w:val="00D33E93"/>
    <w:rsid w:val="00D34987"/>
    <w:rsid w:val="00D35DB3"/>
    <w:rsid w:val="00D36E5C"/>
    <w:rsid w:val="00D37D2D"/>
    <w:rsid w:val="00D37E99"/>
    <w:rsid w:val="00D4057E"/>
    <w:rsid w:val="00D411C3"/>
    <w:rsid w:val="00D412AB"/>
    <w:rsid w:val="00D44B84"/>
    <w:rsid w:val="00D452D5"/>
    <w:rsid w:val="00D4531D"/>
    <w:rsid w:val="00D45F4F"/>
    <w:rsid w:val="00D46547"/>
    <w:rsid w:val="00D47D71"/>
    <w:rsid w:val="00D50195"/>
    <w:rsid w:val="00D51BB9"/>
    <w:rsid w:val="00D5211E"/>
    <w:rsid w:val="00D523B8"/>
    <w:rsid w:val="00D523C6"/>
    <w:rsid w:val="00D52B06"/>
    <w:rsid w:val="00D53EC6"/>
    <w:rsid w:val="00D55B55"/>
    <w:rsid w:val="00D564AC"/>
    <w:rsid w:val="00D57DEE"/>
    <w:rsid w:val="00D606A0"/>
    <w:rsid w:val="00D60D73"/>
    <w:rsid w:val="00D61C4F"/>
    <w:rsid w:val="00D623C1"/>
    <w:rsid w:val="00D6492F"/>
    <w:rsid w:val="00D656BC"/>
    <w:rsid w:val="00D66668"/>
    <w:rsid w:val="00D7066E"/>
    <w:rsid w:val="00D70707"/>
    <w:rsid w:val="00D7080F"/>
    <w:rsid w:val="00D70F77"/>
    <w:rsid w:val="00D73CC9"/>
    <w:rsid w:val="00D73CFF"/>
    <w:rsid w:val="00D76B41"/>
    <w:rsid w:val="00D80651"/>
    <w:rsid w:val="00D80C88"/>
    <w:rsid w:val="00D81274"/>
    <w:rsid w:val="00D81B96"/>
    <w:rsid w:val="00D85AE5"/>
    <w:rsid w:val="00D85BA7"/>
    <w:rsid w:val="00D8747E"/>
    <w:rsid w:val="00D91D67"/>
    <w:rsid w:val="00D922C1"/>
    <w:rsid w:val="00D923A1"/>
    <w:rsid w:val="00D94AC6"/>
    <w:rsid w:val="00D94EA2"/>
    <w:rsid w:val="00D967E0"/>
    <w:rsid w:val="00DA03A3"/>
    <w:rsid w:val="00DA0E0A"/>
    <w:rsid w:val="00DA2BB4"/>
    <w:rsid w:val="00DA30AA"/>
    <w:rsid w:val="00DA45E9"/>
    <w:rsid w:val="00DA563F"/>
    <w:rsid w:val="00DA792D"/>
    <w:rsid w:val="00DB089C"/>
    <w:rsid w:val="00DB0C0F"/>
    <w:rsid w:val="00DB0EE4"/>
    <w:rsid w:val="00DB22C7"/>
    <w:rsid w:val="00DB4A83"/>
    <w:rsid w:val="00DB5639"/>
    <w:rsid w:val="00DB5A9B"/>
    <w:rsid w:val="00DB660F"/>
    <w:rsid w:val="00DC0626"/>
    <w:rsid w:val="00DC086B"/>
    <w:rsid w:val="00DC0876"/>
    <w:rsid w:val="00DC247C"/>
    <w:rsid w:val="00DC259D"/>
    <w:rsid w:val="00DC2F74"/>
    <w:rsid w:val="00DC36E6"/>
    <w:rsid w:val="00DC3F85"/>
    <w:rsid w:val="00DC55CF"/>
    <w:rsid w:val="00DC5CB2"/>
    <w:rsid w:val="00DC5CF4"/>
    <w:rsid w:val="00DC6951"/>
    <w:rsid w:val="00DD2589"/>
    <w:rsid w:val="00DD349B"/>
    <w:rsid w:val="00DD41EE"/>
    <w:rsid w:val="00DD452C"/>
    <w:rsid w:val="00DD4EB3"/>
    <w:rsid w:val="00DD5BEA"/>
    <w:rsid w:val="00DE0E2B"/>
    <w:rsid w:val="00DE1736"/>
    <w:rsid w:val="00DE1A9A"/>
    <w:rsid w:val="00DE5264"/>
    <w:rsid w:val="00DE5530"/>
    <w:rsid w:val="00DE61E7"/>
    <w:rsid w:val="00DF0713"/>
    <w:rsid w:val="00DF1088"/>
    <w:rsid w:val="00DF4954"/>
    <w:rsid w:val="00DF5892"/>
    <w:rsid w:val="00DF5C4D"/>
    <w:rsid w:val="00DF6334"/>
    <w:rsid w:val="00DF68E6"/>
    <w:rsid w:val="00DF6D43"/>
    <w:rsid w:val="00DF75CF"/>
    <w:rsid w:val="00DF7DEE"/>
    <w:rsid w:val="00E001E5"/>
    <w:rsid w:val="00E016EB"/>
    <w:rsid w:val="00E01850"/>
    <w:rsid w:val="00E01EC6"/>
    <w:rsid w:val="00E03D9F"/>
    <w:rsid w:val="00E043C7"/>
    <w:rsid w:val="00E11CE6"/>
    <w:rsid w:val="00E12184"/>
    <w:rsid w:val="00E1398F"/>
    <w:rsid w:val="00E141A7"/>
    <w:rsid w:val="00E14509"/>
    <w:rsid w:val="00E16A0E"/>
    <w:rsid w:val="00E2065D"/>
    <w:rsid w:val="00E21F3E"/>
    <w:rsid w:val="00E224A4"/>
    <w:rsid w:val="00E2293E"/>
    <w:rsid w:val="00E236D8"/>
    <w:rsid w:val="00E25DF0"/>
    <w:rsid w:val="00E261B3"/>
    <w:rsid w:val="00E268E5"/>
    <w:rsid w:val="00E30153"/>
    <w:rsid w:val="00E31483"/>
    <w:rsid w:val="00E31554"/>
    <w:rsid w:val="00E364E1"/>
    <w:rsid w:val="00E400FA"/>
    <w:rsid w:val="00E404E7"/>
    <w:rsid w:val="00E40BDD"/>
    <w:rsid w:val="00E41BCB"/>
    <w:rsid w:val="00E438A8"/>
    <w:rsid w:val="00E45788"/>
    <w:rsid w:val="00E50615"/>
    <w:rsid w:val="00E52CE0"/>
    <w:rsid w:val="00E5326A"/>
    <w:rsid w:val="00E54611"/>
    <w:rsid w:val="00E55655"/>
    <w:rsid w:val="00E557A5"/>
    <w:rsid w:val="00E57B38"/>
    <w:rsid w:val="00E60F7B"/>
    <w:rsid w:val="00E6318C"/>
    <w:rsid w:val="00E6705E"/>
    <w:rsid w:val="00E67242"/>
    <w:rsid w:val="00E673AC"/>
    <w:rsid w:val="00E677AC"/>
    <w:rsid w:val="00E70768"/>
    <w:rsid w:val="00E74020"/>
    <w:rsid w:val="00E759EB"/>
    <w:rsid w:val="00E75F97"/>
    <w:rsid w:val="00E7601B"/>
    <w:rsid w:val="00E761F6"/>
    <w:rsid w:val="00E76E72"/>
    <w:rsid w:val="00E77CE4"/>
    <w:rsid w:val="00E80046"/>
    <w:rsid w:val="00E83794"/>
    <w:rsid w:val="00E83F52"/>
    <w:rsid w:val="00E85175"/>
    <w:rsid w:val="00E85424"/>
    <w:rsid w:val="00E85C98"/>
    <w:rsid w:val="00E86888"/>
    <w:rsid w:val="00E87D37"/>
    <w:rsid w:val="00E87F93"/>
    <w:rsid w:val="00E9168F"/>
    <w:rsid w:val="00E9657C"/>
    <w:rsid w:val="00E970F8"/>
    <w:rsid w:val="00E976D0"/>
    <w:rsid w:val="00EA34A2"/>
    <w:rsid w:val="00EA40E6"/>
    <w:rsid w:val="00EA5F89"/>
    <w:rsid w:val="00EA67F1"/>
    <w:rsid w:val="00EA6C5E"/>
    <w:rsid w:val="00EB0B80"/>
    <w:rsid w:val="00EB2339"/>
    <w:rsid w:val="00EB3133"/>
    <w:rsid w:val="00EB38BD"/>
    <w:rsid w:val="00EB4467"/>
    <w:rsid w:val="00EB4CCC"/>
    <w:rsid w:val="00EB4DDF"/>
    <w:rsid w:val="00EB4DF2"/>
    <w:rsid w:val="00EB4E29"/>
    <w:rsid w:val="00EB4F14"/>
    <w:rsid w:val="00EB5E64"/>
    <w:rsid w:val="00EB64DF"/>
    <w:rsid w:val="00EB7032"/>
    <w:rsid w:val="00EC1AB4"/>
    <w:rsid w:val="00EC1D22"/>
    <w:rsid w:val="00EC268F"/>
    <w:rsid w:val="00EC2F12"/>
    <w:rsid w:val="00EC683C"/>
    <w:rsid w:val="00EC784C"/>
    <w:rsid w:val="00ED0350"/>
    <w:rsid w:val="00ED504D"/>
    <w:rsid w:val="00ED5A52"/>
    <w:rsid w:val="00ED6795"/>
    <w:rsid w:val="00ED6828"/>
    <w:rsid w:val="00ED77E5"/>
    <w:rsid w:val="00ED7B5B"/>
    <w:rsid w:val="00ED7DD6"/>
    <w:rsid w:val="00EE0BF9"/>
    <w:rsid w:val="00EE0C4F"/>
    <w:rsid w:val="00EE463A"/>
    <w:rsid w:val="00EE58F8"/>
    <w:rsid w:val="00EE6809"/>
    <w:rsid w:val="00EE6F1F"/>
    <w:rsid w:val="00EE745D"/>
    <w:rsid w:val="00EE77D5"/>
    <w:rsid w:val="00EF0805"/>
    <w:rsid w:val="00EF3B00"/>
    <w:rsid w:val="00F01E40"/>
    <w:rsid w:val="00F02EA5"/>
    <w:rsid w:val="00F03BCD"/>
    <w:rsid w:val="00F04ACF"/>
    <w:rsid w:val="00F06A4B"/>
    <w:rsid w:val="00F10C72"/>
    <w:rsid w:val="00F11AB5"/>
    <w:rsid w:val="00F14835"/>
    <w:rsid w:val="00F1501A"/>
    <w:rsid w:val="00F1617B"/>
    <w:rsid w:val="00F17AB3"/>
    <w:rsid w:val="00F21588"/>
    <w:rsid w:val="00F22442"/>
    <w:rsid w:val="00F30DED"/>
    <w:rsid w:val="00F31AD9"/>
    <w:rsid w:val="00F31E18"/>
    <w:rsid w:val="00F32572"/>
    <w:rsid w:val="00F32C72"/>
    <w:rsid w:val="00F335AB"/>
    <w:rsid w:val="00F365FE"/>
    <w:rsid w:val="00F36911"/>
    <w:rsid w:val="00F4007E"/>
    <w:rsid w:val="00F4209D"/>
    <w:rsid w:val="00F45234"/>
    <w:rsid w:val="00F4558A"/>
    <w:rsid w:val="00F47CC2"/>
    <w:rsid w:val="00F5058F"/>
    <w:rsid w:val="00F53316"/>
    <w:rsid w:val="00F55682"/>
    <w:rsid w:val="00F56ADD"/>
    <w:rsid w:val="00F57C64"/>
    <w:rsid w:val="00F61361"/>
    <w:rsid w:val="00F62171"/>
    <w:rsid w:val="00F6294D"/>
    <w:rsid w:val="00F6513C"/>
    <w:rsid w:val="00F653D3"/>
    <w:rsid w:val="00F66D2A"/>
    <w:rsid w:val="00F70230"/>
    <w:rsid w:val="00F70377"/>
    <w:rsid w:val="00F71100"/>
    <w:rsid w:val="00F71FE7"/>
    <w:rsid w:val="00F725AA"/>
    <w:rsid w:val="00F72E5F"/>
    <w:rsid w:val="00F74F04"/>
    <w:rsid w:val="00F7647C"/>
    <w:rsid w:val="00F768DA"/>
    <w:rsid w:val="00F80639"/>
    <w:rsid w:val="00F8080E"/>
    <w:rsid w:val="00F825F5"/>
    <w:rsid w:val="00F877BA"/>
    <w:rsid w:val="00F93A67"/>
    <w:rsid w:val="00F95694"/>
    <w:rsid w:val="00F95BFD"/>
    <w:rsid w:val="00F95D1C"/>
    <w:rsid w:val="00F95F65"/>
    <w:rsid w:val="00FA0703"/>
    <w:rsid w:val="00FA0995"/>
    <w:rsid w:val="00FA2ECC"/>
    <w:rsid w:val="00FA3986"/>
    <w:rsid w:val="00FA4A20"/>
    <w:rsid w:val="00FA4FD3"/>
    <w:rsid w:val="00FB140E"/>
    <w:rsid w:val="00FB21DE"/>
    <w:rsid w:val="00FB3A62"/>
    <w:rsid w:val="00FB4486"/>
    <w:rsid w:val="00FB5EDA"/>
    <w:rsid w:val="00FC19C4"/>
    <w:rsid w:val="00FC26EA"/>
    <w:rsid w:val="00FC2FCB"/>
    <w:rsid w:val="00FC3F33"/>
    <w:rsid w:val="00FC6DBC"/>
    <w:rsid w:val="00FC75DD"/>
    <w:rsid w:val="00FD00FC"/>
    <w:rsid w:val="00FD0C06"/>
    <w:rsid w:val="00FD248C"/>
    <w:rsid w:val="00FD25A2"/>
    <w:rsid w:val="00FD58FB"/>
    <w:rsid w:val="00FD5AC0"/>
    <w:rsid w:val="00FD79A6"/>
    <w:rsid w:val="00FD7EF8"/>
    <w:rsid w:val="00FE0AAA"/>
    <w:rsid w:val="00FE0D8F"/>
    <w:rsid w:val="00FE1FAB"/>
    <w:rsid w:val="00FE63EC"/>
    <w:rsid w:val="00FE6A61"/>
    <w:rsid w:val="00FE73C4"/>
    <w:rsid w:val="00FF05B2"/>
    <w:rsid w:val="00FF1BE4"/>
    <w:rsid w:val="00FF2671"/>
    <w:rsid w:val="00FF30BA"/>
    <w:rsid w:val="00FF45AD"/>
    <w:rsid w:val="00FF45C6"/>
    <w:rsid w:val="00FF4D96"/>
    <w:rsid w:val="00FF5DD4"/>
    <w:rsid w:val="00FF6A21"/>
    <w:rsid w:val="00FF74FA"/>
    <w:rsid w:val="00FF7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9"/>
    <w:qFormat/>
    <w:rsid w:val="00D02C4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Titolo2">
    <w:name w:val="heading 2"/>
    <w:basedOn w:val="Normale"/>
    <w:next w:val="Normale"/>
    <w:link w:val="Titolo2Carattere"/>
    <w:uiPriority w:val="9"/>
    <w:unhideWhenUsed/>
    <w:qFormat/>
    <w:rsid w:val="001960B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DC3F85"/>
    <w:pPr>
      <w:keepNext/>
      <w:keepLines/>
      <w:spacing w:before="200" w:after="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68607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86076"/>
    <w:rPr>
      <w:rFonts w:ascii="Tahoma" w:hAnsi="Tahoma" w:cs="Tahoma"/>
      <w:sz w:val="16"/>
      <w:szCs w:val="16"/>
    </w:rPr>
  </w:style>
  <w:style w:type="paragraph" w:styleId="Bibliografia">
    <w:name w:val="Bibliography"/>
    <w:basedOn w:val="Normale"/>
    <w:next w:val="Normale"/>
    <w:uiPriority w:val="37"/>
    <w:unhideWhenUsed/>
    <w:rsid w:val="00647D5F"/>
  </w:style>
  <w:style w:type="paragraph" w:styleId="Intestazione">
    <w:name w:val="header"/>
    <w:basedOn w:val="Normale"/>
    <w:link w:val="IntestazioneCarattere"/>
    <w:uiPriority w:val="99"/>
    <w:unhideWhenUsed/>
    <w:rsid w:val="00C95B31"/>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C95B31"/>
  </w:style>
  <w:style w:type="paragraph" w:styleId="Pidipagina">
    <w:name w:val="footer"/>
    <w:basedOn w:val="Normale"/>
    <w:link w:val="PidipaginaCarattere"/>
    <w:uiPriority w:val="99"/>
    <w:unhideWhenUsed/>
    <w:rsid w:val="00C95B31"/>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C95B31"/>
  </w:style>
  <w:style w:type="paragraph" w:styleId="Testonotaapidipagina">
    <w:name w:val="footnote text"/>
    <w:basedOn w:val="Normale"/>
    <w:link w:val="TestonotaapidipaginaCarattere"/>
    <w:uiPriority w:val="99"/>
    <w:semiHidden/>
    <w:unhideWhenUsed/>
    <w:rsid w:val="00C95B31"/>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C95B31"/>
    <w:rPr>
      <w:sz w:val="20"/>
      <w:szCs w:val="20"/>
    </w:rPr>
  </w:style>
  <w:style w:type="character" w:styleId="Rimandonotaapidipagina">
    <w:name w:val="footnote reference"/>
    <w:basedOn w:val="Carpredefinitoparagrafo"/>
    <w:uiPriority w:val="99"/>
    <w:semiHidden/>
    <w:unhideWhenUsed/>
    <w:rsid w:val="00C95B31"/>
    <w:rPr>
      <w:vertAlign w:val="superscript"/>
    </w:rPr>
  </w:style>
  <w:style w:type="paragraph" w:styleId="Paragrafoelenco">
    <w:name w:val="List Paragraph"/>
    <w:basedOn w:val="Normale"/>
    <w:uiPriority w:val="34"/>
    <w:qFormat/>
    <w:rsid w:val="00713B9D"/>
    <w:pPr>
      <w:ind w:left="720"/>
      <w:contextualSpacing/>
    </w:pPr>
  </w:style>
  <w:style w:type="table" w:styleId="Grigliatabella">
    <w:name w:val="Table Grid"/>
    <w:basedOn w:val="Tabellanormale"/>
    <w:uiPriority w:val="59"/>
    <w:rsid w:val="00A911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semiHidden/>
    <w:unhideWhenUsed/>
    <w:rsid w:val="003467A9"/>
    <w:rPr>
      <w:color w:val="0000FF"/>
      <w:u w:val="single"/>
    </w:rPr>
  </w:style>
  <w:style w:type="character" w:styleId="Testosegnaposto">
    <w:name w:val="Placeholder Text"/>
    <w:basedOn w:val="Carpredefinitoparagrafo"/>
    <w:uiPriority w:val="99"/>
    <w:semiHidden/>
    <w:rsid w:val="007F2205"/>
    <w:rPr>
      <w:color w:val="808080"/>
    </w:rPr>
  </w:style>
  <w:style w:type="character" w:customStyle="1" w:styleId="Titolo1Carattere">
    <w:name w:val="Titolo 1 Carattere"/>
    <w:basedOn w:val="Carpredefinitoparagrafo"/>
    <w:link w:val="Titolo1"/>
    <w:uiPriority w:val="9"/>
    <w:rsid w:val="00D02C4C"/>
    <w:rPr>
      <w:rFonts w:ascii="Times New Roman" w:eastAsia="Times New Roman" w:hAnsi="Times New Roman" w:cs="Times New Roman"/>
      <w:b/>
      <w:bCs/>
      <w:kern w:val="36"/>
      <w:sz w:val="48"/>
      <w:szCs w:val="48"/>
      <w:lang w:eastAsia="en-GB"/>
    </w:rPr>
  </w:style>
  <w:style w:type="character" w:customStyle="1" w:styleId="apple-converted-space">
    <w:name w:val="apple-converted-space"/>
    <w:basedOn w:val="Carpredefinitoparagrafo"/>
    <w:rsid w:val="00D02C4C"/>
  </w:style>
  <w:style w:type="paragraph" w:styleId="PreformattatoHTML">
    <w:name w:val="HTML Preformatted"/>
    <w:basedOn w:val="Normale"/>
    <w:link w:val="PreformattatoHTMLCarattere"/>
    <w:uiPriority w:val="99"/>
    <w:unhideWhenUsed/>
    <w:rsid w:val="00A34C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PreformattatoHTMLCarattere">
    <w:name w:val="Preformattato HTML Carattere"/>
    <w:basedOn w:val="Carpredefinitoparagrafo"/>
    <w:link w:val="PreformattatoHTML"/>
    <w:uiPriority w:val="99"/>
    <w:rsid w:val="00A34C3A"/>
    <w:rPr>
      <w:rFonts w:ascii="Courier New" w:eastAsia="Times New Roman" w:hAnsi="Courier New" w:cs="Courier New"/>
      <w:sz w:val="20"/>
      <w:szCs w:val="20"/>
      <w:lang w:eastAsia="en-GB"/>
    </w:rPr>
  </w:style>
  <w:style w:type="character" w:customStyle="1" w:styleId="medium-font">
    <w:name w:val="medium-font"/>
    <w:basedOn w:val="Carpredefinitoparagrafo"/>
    <w:rsid w:val="00F8080E"/>
  </w:style>
  <w:style w:type="character" w:styleId="Enfasigrassetto">
    <w:name w:val="Strong"/>
    <w:basedOn w:val="Carpredefinitoparagrafo"/>
    <w:uiPriority w:val="22"/>
    <w:qFormat/>
    <w:rsid w:val="00F8080E"/>
    <w:rPr>
      <w:b/>
      <w:bCs/>
    </w:rPr>
  </w:style>
  <w:style w:type="paragraph" w:customStyle="1" w:styleId="Default">
    <w:name w:val="Default"/>
    <w:rsid w:val="00457E32"/>
    <w:pPr>
      <w:autoSpaceDE w:val="0"/>
      <w:autoSpaceDN w:val="0"/>
      <w:adjustRightInd w:val="0"/>
      <w:spacing w:after="0" w:line="240" w:lineRule="auto"/>
    </w:pPr>
    <w:rPr>
      <w:rFonts w:ascii="Code" w:hAnsi="Code" w:cs="Code"/>
      <w:color w:val="000000"/>
      <w:sz w:val="24"/>
      <w:szCs w:val="24"/>
    </w:rPr>
  </w:style>
  <w:style w:type="paragraph" w:styleId="NormaleWeb">
    <w:name w:val="Normal (Web)"/>
    <w:basedOn w:val="Normale"/>
    <w:uiPriority w:val="99"/>
    <w:semiHidden/>
    <w:unhideWhenUsed/>
    <w:rsid w:val="00A742A5"/>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Titolo2Carattere">
    <w:name w:val="Titolo 2 Carattere"/>
    <w:basedOn w:val="Carpredefinitoparagrafo"/>
    <w:link w:val="Titolo2"/>
    <w:uiPriority w:val="9"/>
    <w:rsid w:val="001960B2"/>
    <w:rPr>
      <w:rFonts w:asciiTheme="majorHAnsi" w:eastAsiaTheme="majorEastAsia" w:hAnsiTheme="majorHAnsi" w:cstheme="majorBidi"/>
      <w:b/>
      <w:bCs/>
      <w:color w:val="4F81BD" w:themeColor="accent1"/>
      <w:sz w:val="26"/>
      <w:szCs w:val="26"/>
    </w:rPr>
  </w:style>
  <w:style w:type="paragraph" w:styleId="Nessunaspaziatura">
    <w:name w:val="No Spacing"/>
    <w:uiPriority w:val="1"/>
    <w:qFormat/>
    <w:rsid w:val="001960B2"/>
    <w:pPr>
      <w:spacing w:after="0" w:line="240" w:lineRule="auto"/>
    </w:pPr>
  </w:style>
  <w:style w:type="character" w:styleId="Rimandocommento">
    <w:name w:val="annotation reference"/>
    <w:basedOn w:val="Carpredefinitoparagrafo"/>
    <w:uiPriority w:val="99"/>
    <w:semiHidden/>
    <w:unhideWhenUsed/>
    <w:rsid w:val="007E03AD"/>
    <w:rPr>
      <w:sz w:val="16"/>
      <w:szCs w:val="16"/>
    </w:rPr>
  </w:style>
  <w:style w:type="paragraph" w:styleId="Testocommento">
    <w:name w:val="annotation text"/>
    <w:basedOn w:val="Normale"/>
    <w:link w:val="TestocommentoCarattere"/>
    <w:uiPriority w:val="99"/>
    <w:semiHidden/>
    <w:unhideWhenUsed/>
    <w:rsid w:val="007E03A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7E03AD"/>
    <w:rPr>
      <w:sz w:val="20"/>
      <w:szCs w:val="20"/>
    </w:rPr>
  </w:style>
  <w:style w:type="paragraph" w:styleId="Soggettocommento">
    <w:name w:val="annotation subject"/>
    <w:basedOn w:val="Testocommento"/>
    <w:next w:val="Testocommento"/>
    <w:link w:val="SoggettocommentoCarattere"/>
    <w:uiPriority w:val="99"/>
    <w:semiHidden/>
    <w:unhideWhenUsed/>
    <w:rsid w:val="007E03AD"/>
    <w:rPr>
      <w:b/>
      <w:bCs/>
    </w:rPr>
  </w:style>
  <w:style w:type="character" w:customStyle="1" w:styleId="SoggettocommentoCarattere">
    <w:name w:val="Soggetto commento Carattere"/>
    <w:basedOn w:val="TestocommentoCarattere"/>
    <w:link w:val="Soggettocommento"/>
    <w:uiPriority w:val="99"/>
    <w:semiHidden/>
    <w:rsid w:val="007E03AD"/>
    <w:rPr>
      <w:b/>
      <w:bCs/>
      <w:sz w:val="20"/>
      <w:szCs w:val="20"/>
    </w:rPr>
  </w:style>
  <w:style w:type="character" w:customStyle="1" w:styleId="Titolo3Carattere">
    <w:name w:val="Titolo 3 Carattere"/>
    <w:basedOn w:val="Carpredefinitoparagrafo"/>
    <w:link w:val="Titolo3"/>
    <w:uiPriority w:val="9"/>
    <w:semiHidden/>
    <w:rsid w:val="00DC3F85"/>
    <w:rPr>
      <w:rFonts w:asciiTheme="majorHAnsi" w:eastAsiaTheme="majorEastAsia" w:hAnsiTheme="majorHAnsi" w:cstheme="majorBidi"/>
      <w:b/>
      <w:bCs/>
      <w:color w:val="4F81BD" w:themeColor="accent1"/>
    </w:rPr>
  </w:style>
  <w:style w:type="paragraph" w:customStyle="1" w:styleId="Body1">
    <w:name w:val="Body 1"/>
    <w:rsid w:val="00783CCD"/>
    <w:pPr>
      <w:spacing w:after="0" w:line="240" w:lineRule="auto"/>
    </w:pPr>
    <w:rPr>
      <w:rFonts w:ascii="Helvetica" w:eastAsia="Arial Unicode MS" w:hAnsi="Helvetica" w:cs="Times New Roman"/>
      <w:color w:val="000000"/>
      <w:sz w:val="24"/>
      <w:szCs w:val="20"/>
      <w:lang w:eastAsia="en-GB"/>
    </w:rPr>
  </w:style>
  <w:style w:type="paragraph" w:styleId="Testonotadichiusura">
    <w:name w:val="endnote text"/>
    <w:basedOn w:val="Normale"/>
    <w:link w:val="TestonotadichiusuraCarattere"/>
    <w:uiPriority w:val="99"/>
    <w:semiHidden/>
    <w:unhideWhenUsed/>
    <w:rsid w:val="00640584"/>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640584"/>
    <w:rPr>
      <w:sz w:val="20"/>
      <w:szCs w:val="20"/>
    </w:rPr>
  </w:style>
  <w:style w:type="character" w:styleId="Rimandonotadichiusura">
    <w:name w:val="endnote reference"/>
    <w:basedOn w:val="Carpredefinitoparagrafo"/>
    <w:uiPriority w:val="99"/>
    <w:semiHidden/>
    <w:unhideWhenUsed/>
    <w:rsid w:val="00640584"/>
    <w:rPr>
      <w:vertAlign w:val="superscript"/>
    </w:rPr>
  </w:style>
  <w:style w:type="paragraph" w:styleId="Revisione">
    <w:name w:val="Revision"/>
    <w:hidden/>
    <w:uiPriority w:val="99"/>
    <w:semiHidden/>
    <w:rsid w:val="0062297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9"/>
    <w:qFormat/>
    <w:rsid w:val="00D02C4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Titolo2">
    <w:name w:val="heading 2"/>
    <w:basedOn w:val="Normale"/>
    <w:next w:val="Normale"/>
    <w:link w:val="Titolo2Carattere"/>
    <w:uiPriority w:val="9"/>
    <w:unhideWhenUsed/>
    <w:qFormat/>
    <w:rsid w:val="001960B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DC3F85"/>
    <w:pPr>
      <w:keepNext/>
      <w:keepLines/>
      <w:spacing w:before="200" w:after="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68607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86076"/>
    <w:rPr>
      <w:rFonts w:ascii="Tahoma" w:hAnsi="Tahoma" w:cs="Tahoma"/>
      <w:sz w:val="16"/>
      <w:szCs w:val="16"/>
    </w:rPr>
  </w:style>
  <w:style w:type="paragraph" w:styleId="Bibliografia">
    <w:name w:val="Bibliography"/>
    <w:basedOn w:val="Normale"/>
    <w:next w:val="Normale"/>
    <w:uiPriority w:val="37"/>
    <w:unhideWhenUsed/>
    <w:rsid w:val="00647D5F"/>
  </w:style>
  <w:style w:type="paragraph" w:styleId="Intestazione">
    <w:name w:val="header"/>
    <w:basedOn w:val="Normale"/>
    <w:link w:val="IntestazioneCarattere"/>
    <w:uiPriority w:val="99"/>
    <w:unhideWhenUsed/>
    <w:rsid w:val="00C95B31"/>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C95B31"/>
  </w:style>
  <w:style w:type="paragraph" w:styleId="Pidipagina">
    <w:name w:val="footer"/>
    <w:basedOn w:val="Normale"/>
    <w:link w:val="PidipaginaCarattere"/>
    <w:uiPriority w:val="99"/>
    <w:unhideWhenUsed/>
    <w:rsid w:val="00C95B31"/>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C95B31"/>
  </w:style>
  <w:style w:type="paragraph" w:styleId="Testonotaapidipagina">
    <w:name w:val="footnote text"/>
    <w:basedOn w:val="Normale"/>
    <w:link w:val="TestonotaapidipaginaCarattere"/>
    <w:uiPriority w:val="99"/>
    <w:semiHidden/>
    <w:unhideWhenUsed/>
    <w:rsid w:val="00C95B31"/>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C95B31"/>
    <w:rPr>
      <w:sz w:val="20"/>
      <w:szCs w:val="20"/>
    </w:rPr>
  </w:style>
  <w:style w:type="character" w:styleId="Rimandonotaapidipagina">
    <w:name w:val="footnote reference"/>
    <w:basedOn w:val="Carpredefinitoparagrafo"/>
    <w:uiPriority w:val="99"/>
    <w:semiHidden/>
    <w:unhideWhenUsed/>
    <w:rsid w:val="00C95B31"/>
    <w:rPr>
      <w:vertAlign w:val="superscript"/>
    </w:rPr>
  </w:style>
  <w:style w:type="paragraph" w:styleId="Paragrafoelenco">
    <w:name w:val="List Paragraph"/>
    <w:basedOn w:val="Normale"/>
    <w:uiPriority w:val="34"/>
    <w:qFormat/>
    <w:rsid w:val="00713B9D"/>
    <w:pPr>
      <w:ind w:left="720"/>
      <w:contextualSpacing/>
    </w:pPr>
  </w:style>
  <w:style w:type="table" w:styleId="Grigliatabella">
    <w:name w:val="Table Grid"/>
    <w:basedOn w:val="Tabellanormale"/>
    <w:uiPriority w:val="59"/>
    <w:rsid w:val="00A911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semiHidden/>
    <w:unhideWhenUsed/>
    <w:rsid w:val="003467A9"/>
    <w:rPr>
      <w:color w:val="0000FF"/>
      <w:u w:val="single"/>
    </w:rPr>
  </w:style>
  <w:style w:type="character" w:styleId="Testosegnaposto">
    <w:name w:val="Placeholder Text"/>
    <w:basedOn w:val="Carpredefinitoparagrafo"/>
    <w:uiPriority w:val="99"/>
    <w:semiHidden/>
    <w:rsid w:val="007F2205"/>
    <w:rPr>
      <w:color w:val="808080"/>
    </w:rPr>
  </w:style>
  <w:style w:type="character" w:customStyle="1" w:styleId="Titolo1Carattere">
    <w:name w:val="Titolo 1 Carattere"/>
    <w:basedOn w:val="Carpredefinitoparagrafo"/>
    <w:link w:val="Titolo1"/>
    <w:uiPriority w:val="9"/>
    <w:rsid w:val="00D02C4C"/>
    <w:rPr>
      <w:rFonts w:ascii="Times New Roman" w:eastAsia="Times New Roman" w:hAnsi="Times New Roman" w:cs="Times New Roman"/>
      <w:b/>
      <w:bCs/>
      <w:kern w:val="36"/>
      <w:sz w:val="48"/>
      <w:szCs w:val="48"/>
      <w:lang w:eastAsia="en-GB"/>
    </w:rPr>
  </w:style>
  <w:style w:type="character" w:customStyle="1" w:styleId="apple-converted-space">
    <w:name w:val="apple-converted-space"/>
    <w:basedOn w:val="Carpredefinitoparagrafo"/>
    <w:rsid w:val="00D02C4C"/>
  </w:style>
  <w:style w:type="paragraph" w:styleId="PreformattatoHTML">
    <w:name w:val="HTML Preformatted"/>
    <w:basedOn w:val="Normale"/>
    <w:link w:val="PreformattatoHTMLCarattere"/>
    <w:uiPriority w:val="99"/>
    <w:unhideWhenUsed/>
    <w:rsid w:val="00A34C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PreformattatoHTMLCarattere">
    <w:name w:val="Preformattato HTML Carattere"/>
    <w:basedOn w:val="Carpredefinitoparagrafo"/>
    <w:link w:val="PreformattatoHTML"/>
    <w:uiPriority w:val="99"/>
    <w:rsid w:val="00A34C3A"/>
    <w:rPr>
      <w:rFonts w:ascii="Courier New" w:eastAsia="Times New Roman" w:hAnsi="Courier New" w:cs="Courier New"/>
      <w:sz w:val="20"/>
      <w:szCs w:val="20"/>
      <w:lang w:eastAsia="en-GB"/>
    </w:rPr>
  </w:style>
  <w:style w:type="character" w:customStyle="1" w:styleId="medium-font">
    <w:name w:val="medium-font"/>
    <w:basedOn w:val="Carpredefinitoparagrafo"/>
    <w:rsid w:val="00F8080E"/>
  </w:style>
  <w:style w:type="character" w:styleId="Enfasigrassetto">
    <w:name w:val="Strong"/>
    <w:basedOn w:val="Carpredefinitoparagrafo"/>
    <w:uiPriority w:val="22"/>
    <w:qFormat/>
    <w:rsid w:val="00F8080E"/>
    <w:rPr>
      <w:b/>
      <w:bCs/>
    </w:rPr>
  </w:style>
  <w:style w:type="paragraph" w:customStyle="1" w:styleId="Default">
    <w:name w:val="Default"/>
    <w:rsid w:val="00457E32"/>
    <w:pPr>
      <w:autoSpaceDE w:val="0"/>
      <w:autoSpaceDN w:val="0"/>
      <w:adjustRightInd w:val="0"/>
      <w:spacing w:after="0" w:line="240" w:lineRule="auto"/>
    </w:pPr>
    <w:rPr>
      <w:rFonts w:ascii="Code" w:hAnsi="Code" w:cs="Code"/>
      <w:color w:val="000000"/>
      <w:sz w:val="24"/>
      <w:szCs w:val="24"/>
    </w:rPr>
  </w:style>
  <w:style w:type="paragraph" w:styleId="NormaleWeb">
    <w:name w:val="Normal (Web)"/>
    <w:basedOn w:val="Normale"/>
    <w:uiPriority w:val="99"/>
    <w:semiHidden/>
    <w:unhideWhenUsed/>
    <w:rsid w:val="00A742A5"/>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Titolo2Carattere">
    <w:name w:val="Titolo 2 Carattere"/>
    <w:basedOn w:val="Carpredefinitoparagrafo"/>
    <w:link w:val="Titolo2"/>
    <w:uiPriority w:val="9"/>
    <w:rsid w:val="001960B2"/>
    <w:rPr>
      <w:rFonts w:asciiTheme="majorHAnsi" w:eastAsiaTheme="majorEastAsia" w:hAnsiTheme="majorHAnsi" w:cstheme="majorBidi"/>
      <w:b/>
      <w:bCs/>
      <w:color w:val="4F81BD" w:themeColor="accent1"/>
      <w:sz w:val="26"/>
      <w:szCs w:val="26"/>
    </w:rPr>
  </w:style>
  <w:style w:type="paragraph" w:styleId="Nessunaspaziatura">
    <w:name w:val="No Spacing"/>
    <w:uiPriority w:val="1"/>
    <w:qFormat/>
    <w:rsid w:val="001960B2"/>
    <w:pPr>
      <w:spacing w:after="0" w:line="240" w:lineRule="auto"/>
    </w:pPr>
  </w:style>
  <w:style w:type="character" w:styleId="Rimandocommento">
    <w:name w:val="annotation reference"/>
    <w:basedOn w:val="Carpredefinitoparagrafo"/>
    <w:uiPriority w:val="99"/>
    <w:semiHidden/>
    <w:unhideWhenUsed/>
    <w:rsid w:val="007E03AD"/>
    <w:rPr>
      <w:sz w:val="16"/>
      <w:szCs w:val="16"/>
    </w:rPr>
  </w:style>
  <w:style w:type="paragraph" w:styleId="Testocommento">
    <w:name w:val="annotation text"/>
    <w:basedOn w:val="Normale"/>
    <w:link w:val="TestocommentoCarattere"/>
    <w:uiPriority w:val="99"/>
    <w:semiHidden/>
    <w:unhideWhenUsed/>
    <w:rsid w:val="007E03A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7E03AD"/>
    <w:rPr>
      <w:sz w:val="20"/>
      <w:szCs w:val="20"/>
    </w:rPr>
  </w:style>
  <w:style w:type="paragraph" w:styleId="Soggettocommento">
    <w:name w:val="annotation subject"/>
    <w:basedOn w:val="Testocommento"/>
    <w:next w:val="Testocommento"/>
    <w:link w:val="SoggettocommentoCarattere"/>
    <w:uiPriority w:val="99"/>
    <w:semiHidden/>
    <w:unhideWhenUsed/>
    <w:rsid w:val="007E03AD"/>
    <w:rPr>
      <w:b/>
      <w:bCs/>
    </w:rPr>
  </w:style>
  <w:style w:type="character" w:customStyle="1" w:styleId="SoggettocommentoCarattere">
    <w:name w:val="Soggetto commento Carattere"/>
    <w:basedOn w:val="TestocommentoCarattere"/>
    <w:link w:val="Soggettocommento"/>
    <w:uiPriority w:val="99"/>
    <w:semiHidden/>
    <w:rsid w:val="007E03AD"/>
    <w:rPr>
      <w:b/>
      <w:bCs/>
      <w:sz w:val="20"/>
      <w:szCs w:val="20"/>
    </w:rPr>
  </w:style>
  <w:style w:type="character" w:customStyle="1" w:styleId="Titolo3Carattere">
    <w:name w:val="Titolo 3 Carattere"/>
    <w:basedOn w:val="Carpredefinitoparagrafo"/>
    <w:link w:val="Titolo3"/>
    <w:uiPriority w:val="9"/>
    <w:semiHidden/>
    <w:rsid w:val="00DC3F85"/>
    <w:rPr>
      <w:rFonts w:asciiTheme="majorHAnsi" w:eastAsiaTheme="majorEastAsia" w:hAnsiTheme="majorHAnsi" w:cstheme="majorBidi"/>
      <w:b/>
      <w:bCs/>
      <w:color w:val="4F81BD" w:themeColor="accent1"/>
    </w:rPr>
  </w:style>
  <w:style w:type="paragraph" w:customStyle="1" w:styleId="Body1">
    <w:name w:val="Body 1"/>
    <w:rsid w:val="00783CCD"/>
    <w:pPr>
      <w:spacing w:after="0" w:line="240" w:lineRule="auto"/>
    </w:pPr>
    <w:rPr>
      <w:rFonts w:ascii="Helvetica" w:eastAsia="Arial Unicode MS" w:hAnsi="Helvetica" w:cs="Times New Roman"/>
      <w:color w:val="000000"/>
      <w:sz w:val="24"/>
      <w:szCs w:val="20"/>
      <w:lang w:eastAsia="en-GB"/>
    </w:rPr>
  </w:style>
  <w:style w:type="paragraph" w:styleId="Testonotadichiusura">
    <w:name w:val="endnote text"/>
    <w:basedOn w:val="Normale"/>
    <w:link w:val="TestonotadichiusuraCarattere"/>
    <w:uiPriority w:val="99"/>
    <w:semiHidden/>
    <w:unhideWhenUsed/>
    <w:rsid w:val="00640584"/>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640584"/>
    <w:rPr>
      <w:sz w:val="20"/>
      <w:szCs w:val="20"/>
    </w:rPr>
  </w:style>
  <w:style w:type="character" w:styleId="Rimandonotadichiusura">
    <w:name w:val="endnote reference"/>
    <w:basedOn w:val="Carpredefinitoparagrafo"/>
    <w:uiPriority w:val="99"/>
    <w:semiHidden/>
    <w:unhideWhenUsed/>
    <w:rsid w:val="00640584"/>
    <w:rPr>
      <w:vertAlign w:val="superscript"/>
    </w:rPr>
  </w:style>
  <w:style w:type="paragraph" w:styleId="Revisione">
    <w:name w:val="Revision"/>
    <w:hidden/>
    <w:uiPriority w:val="99"/>
    <w:semiHidden/>
    <w:rsid w:val="006229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04940">
      <w:bodyDiv w:val="1"/>
      <w:marLeft w:val="0"/>
      <w:marRight w:val="0"/>
      <w:marTop w:val="0"/>
      <w:marBottom w:val="0"/>
      <w:divBdr>
        <w:top w:val="none" w:sz="0" w:space="0" w:color="auto"/>
        <w:left w:val="none" w:sz="0" w:space="0" w:color="auto"/>
        <w:bottom w:val="none" w:sz="0" w:space="0" w:color="auto"/>
        <w:right w:val="none" w:sz="0" w:space="0" w:color="auto"/>
      </w:divBdr>
    </w:div>
    <w:div w:id="68354855">
      <w:bodyDiv w:val="1"/>
      <w:marLeft w:val="0"/>
      <w:marRight w:val="0"/>
      <w:marTop w:val="0"/>
      <w:marBottom w:val="0"/>
      <w:divBdr>
        <w:top w:val="none" w:sz="0" w:space="0" w:color="auto"/>
        <w:left w:val="none" w:sz="0" w:space="0" w:color="auto"/>
        <w:bottom w:val="none" w:sz="0" w:space="0" w:color="auto"/>
        <w:right w:val="none" w:sz="0" w:space="0" w:color="auto"/>
      </w:divBdr>
    </w:div>
    <w:div w:id="94862034">
      <w:bodyDiv w:val="1"/>
      <w:marLeft w:val="0"/>
      <w:marRight w:val="0"/>
      <w:marTop w:val="0"/>
      <w:marBottom w:val="0"/>
      <w:divBdr>
        <w:top w:val="none" w:sz="0" w:space="0" w:color="auto"/>
        <w:left w:val="none" w:sz="0" w:space="0" w:color="auto"/>
        <w:bottom w:val="none" w:sz="0" w:space="0" w:color="auto"/>
        <w:right w:val="none" w:sz="0" w:space="0" w:color="auto"/>
      </w:divBdr>
    </w:div>
    <w:div w:id="100875914">
      <w:bodyDiv w:val="1"/>
      <w:marLeft w:val="0"/>
      <w:marRight w:val="0"/>
      <w:marTop w:val="0"/>
      <w:marBottom w:val="0"/>
      <w:divBdr>
        <w:top w:val="none" w:sz="0" w:space="0" w:color="auto"/>
        <w:left w:val="none" w:sz="0" w:space="0" w:color="auto"/>
        <w:bottom w:val="none" w:sz="0" w:space="0" w:color="auto"/>
        <w:right w:val="none" w:sz="0" w:space="0" w:color="auto"/>
      </w:divBdr>
    </w:div>
    <w:div w:id="109665871">
      <w:bodyDiv w:val="1"/>
      <w:marLeft w:val="0"/>
      <w:marRight w:val="0"/>
      <w:marTop w:val="0"/>
      <w:marBottom w:val="0"/>
      <w:divBdr>
        <w:top w:val="none" w:sz="0" w:space="0" w:color="auto"/>
        <w:left w:val="none" w:sz="0" w:space="0" w:color="auto"/>
        <w:bottom w:val="none" w:sz="0" w:space="0" w:color="auto"/>
        <w:right w:val="none" w:sz="0" w:space="0" w:color="auto"/>
      </w:divBdr>
    </w:div>
    <w:div w:id="143937772">
      <w:bodyDiv w:val="1"/>
      <w:marLeft w:val="0"/>
      <w:marRight w:val="0"/>
      <w:marTop w:val="0"/>
      <w:marBottom w:val="0"/>
      <w:divBdr>
        <w:top w:val="none" w:sz="0" w:space="0" w:color="auto"/>
        <w:left w:val="none" w:sz="0" w:space="0" w:color="auto"/>
        <w:bottom w:val="none" w:sz="0" w:space="0" w:color="auto"/>
        <w:right w:val="none" w:sz="0" w:space="0" w:color="auto"/>
      </w:divBdr>
    </w:div>
    <w:div w:id="146750504">
      <w:bodyDiv w:val="1"/>
      <w:marLeft w:val="0"/>
      <w:marRight w:val="0"/>
      <w:marTop w:val="0"/>
      <w:marBottom w:val="0"/>
      <w:divBdr>
        <w:top w:val="none" w:sz="0" w:space="0" w:color="auto"/>
        <w:left w:val="none" w:sz="0" w:space="0" w:color="auto"/>
        <w:bottom w:val="none" w:sz="0" w:space="0" w:color="auto"/>
        <w:right w:val="none" w:sz="0" w:space="0" w:color="auto"/>
      </w:divBdr>
    </w:div>
    <w:div w:id="174342011">
      <w:bodyDiv w:val="1"/>
      <w:marLeft w:val="0"/>
      <w:marRight w:val="0"/>
      <w:marTop w:val="0"/>
      <w:marBottom w:val="0"/>
      <w:divBdr>
        <w:top w:val="none" w:sz="0" w:space="0" w:color="auto"/>
        <w:left w:val="none" w:sz="0" w:space="0" w:color="auto"/>
        <w:bottom w:val="none" w:sz="0" w:space="0" w:color="auto"/>
        <w:right w:val="none" w:sz="0" w:space="0" w:color="auto"/>
      </w:divBdr>
    </w:div>
    <w:div w:id="193231484">
      <w:bodyDiv w:val="1"/>
      <w:marLeft w:val="0"/>
      <w:marRight w:val="0"/>
      <w:marTop w:val="0"/>
      <w:marBottom w:val="0"/>
      <w:divBdr>
        <w:top w:val="none" w:sz="0" w:space="0" w:color="auto"/>
        <w:left w:val="none" w:sz="0" w:space="0" w:color="auto"/>
        <w:bottom w:val="none" w:sz="0" w:space="0" w:color="auto"/>
        <w:right w:val="none" w:sz="0" w:space="0" w:color="auto"/>
      </w:divBdr>
    </w:div>
    <w:div w:id="195511757">
      <w:bodyDiv w:val="1"/>
      <w:marLeft w:val="0"/>
      <w:marRight w:val="0"/>
      <w:marTop w:val="0"/>
      <w:marBottom w:val="0"/>
      <w:divBdr>
        <w:top w:val="none" w:sz="0" w:space="0" w:color="auto"/>
        <w:left w:val="none" w:sz="0" w:space="0" w:color="auto"/>
        <w:bottom w:val="none" w:sz="0" w:space="0" w:color="auto"/>
        <w:right w:val="none" w:sz="0" w:space="0" w:color="auto"/>
      </w:divBdr>
    </w:div>
    <w:div w:id="206643232">
      <w:bodyDiv w:val="1"/>
      <w:marLeft w:val="0"/>
      <w:marRight w:val="0"/>
      <w:marTop w:val="0"/>
      <w:marBottom w:val="0"/>
      <w:divBdr>
        <w:top w:val="none" w:sz="0" w:space="0" w:color="auto"/>
        <w:left w:val="none" w:sz="0" w:space="0" w:color="auto"/>
        <w:bottom w:val="none" w:sz="0" w:space="0" w:color="auto"/>
        <w:right w:val="none" w:sz="0" w:space="0" w:color="auto"/>
      </w:divBdr>
    </w:div>
    <w:div w:id="248858289">
      <w:bodyDiv w:val="1"/>
      <w:marLeft w:val="0"/>
      <w:marRight w:val="0"/>
      <w:marTop w:val="0"/>
      <w:marBottom w:val="0"/>
      <w:divBdr>
        <w:top w:val="none" w:sz="0" w:space="0" w:color="auto"/>
        <w:left w:val="none" w:sz="0" w:space="0" w:color="auto"/>
        <w:bottom w:val="none" w:sz="0" w:space="0" w:color="auto"/>
        <w:right w:val="none" w:sz="0" w:space="0" w:color="auto"/>
      </w:divBdr>
    </w:div>
    <w:div w:id="263344628">
      <w:bodyDiv w:val="1"/>
      <w:marLeft w:val="0"/>
      <w:marRight w:val="0"/>
      <w:marTop w:val="0"/>
      <w:marBottom w:val="0"/>
      <w:divBdr>
        <w:top w:val="none" w:sz="0" w:space="0" w:color="auto"/>
        <w:left w:val="none" w:sz="0" w:space="0" w:color="auto"/>
        <w:bottom w:val="none" w:sz="0" w:space="0" w:color="auto"/>
        <w:right w:val="none" w:sz="0" w:space="0" w:color="auto"/>
      </w:divBdr>
    </w:div>
    <w:div w:id="281349447">
      <w:bodyDiv w:val="1"/>
      <w:marLeft w:val="0"/>
      <w:marRight w:val="0"/>
      <w:marTop w:val="0"/>
      <w:marBottom w:val="0"/>
      <w:divBdr>
        <w:top w:val="none" w:sz="0" w:space="0" w:color="auto"/>
        <w:left w:val="none" w:sz="0" w:space="0" w:color="auto"/>
        <w:bottom w:val="none" w:sz="0" w:space="0" w:color="auto"/>
        <w:right w:val="none" w:sz="0" w:space="0" w:color="auto"/>
      </w:divBdr>
    </w:div>
    <w:div w:id="326246887">
      <w:bodyDiv w:val="1"/>
      <w:marLeft w:val="0"/>
      <w:marRight w:val="0"/>
      <w:marTop w:val="0"/>
      <w:marBottom w:val="0"/>
      <w:divBdr>
        <w:top w:val="none" w:sz="0" w:space="0" w:color="auto"/>
        <w:left w:val="none" w:sz="0" w:space="0" w:color="auto"/>
        <w:bottom w:val="none" w:sz="0" w:space="0" w:color="auto"/>
        <w:right w:val="none" w:sz="0" w:space="0" w:color="auto"/>
      </w:divBdr>
    </w:div>
    <w:div w:id="327221507">
      <w:bodyDiv w:val="1"/>
      <w:marLeft w:val="0"/>
      <w:marRight w:val="0"/>
      <w:marTop w:val="0"/>
      <w:marBottom w:val="0"/>
      <w:divBdr>
        <w:top w:val="none" w:sz="0" w:space="0" w:color="auto"/>
        <w:left w:val="none" w:sz="0" w:space="0" w:color="auto"/>
        <w:bottom w:val="none" w:sz="0" w:space="0" w:color="auto"/>
        <w:right w:val="none" w:sz="0" w:space="0" w:color="auto"/>
      </w:divBdr>
      <w:divsChild>
        <w:div w:id="1632831172">
          <w:marLeft w:val="0"/>
          <w:marRight w:val="0"/>
          <w:marTop w:val="0"/>
          <w:marBottom w:val="0"/>
          <w:divBdr>
            <w:top w:val="none" w:sz="0" w:space="0" w:color="auto"/>
            <w:left w:val="none" w:sz="0" w:space="0" w:color="auto"/>
            <w:bottom w:val="none" w:sz="0" w:space="0" w:color="auto"/>
            <w:right w:val="none" w:sz="0" w:space="0" w:color="auto"/>
          </w:divBdr>
        </w:div>
        <w:div w:id="462382867">
          <w:marLeft w:val="0"/>
          <w:marRight w:val="0"/>
          <w:marTop w:val="0"/>
          <w:marBottom w:val="0"/>
          <w:divBdr>
            <w:top w:val="none" w:sz="0" w:space="0" w:color="auto"/>
            <w:left w:val="none" w:sz="0" w:space="0" w:color="auto"/>
            <w:bottom w:val="none" w:sz="0" w:space="0" w:color="auto"/>
            <w:right w:val="none" w:sz="0" w:space="0" w:color="auto"/>
          </w:divBdr>
        </w:div>
        <w:div w:id="2104254075">
          <w:marLeft w:val="0"/>
          <w:marRight w:val="0"/>
          <w:marTop w:val="0"/>
          <w:marBottom w:val="0"/>
          <w:divBdr>
            <w:top w:val="none" w:sz="0" w:space="0" w:color="auto"/>
            <w:left w:val="none" w:sz="0" w:space="0" w:color="auto"/>
            <w:bottom w:val="none" w:sz="0" w:space="0" w:color="auto"/>
            <w:right w:val="none" w:sz="0" w:space="0" w:color="auto"/>
          </w:divBdr>
        </w:div>
        <w:div w:id="820774321">
          <w:marLeft w:val="0"/>
          <w:marRight w:val="0"/>
          <w:marTop w:val="0"/>
          <w:marBottom w:val="0"/>
          <w:divBdr>
            <w:top w:val="none" w:sz="0" w:space="0" w:color="auto"/>
            <w:left w:val="none" w:sz="0" w:space="0" w:color="auto"/>
            <w:bottom w:val="none" w:sz="0" w:space="0" w:color="auto"/>
            <w:right w:val="none" w:sz="0" w:space="0" w:color="auto"/>
          </w:divBdr>
        </w:div>
        <w:div w:id="1506506675">
          <w:marLeft w:val="0"/>
          <w:marRight w:val="0"/>
          <w:marTop w:val="0"/>
          <w:marBottom w:val="0"/>
          <w:divBdr>
            <w:top w:val="none" w:sz="0" w:space="0" w:color="auto"/>
            <w:left w:val="none" w:sz="0" w:space="0" w:color="auto"/>
            <w:bottom w:val="none" w:sz="0" w:space="0" w:color="auto"/>
            <w:right w:val="none" w:sz="0" w:space="0" w:color="auto"/>
          </w:divBdr>
        </w:div>
        <w:div w:id="811481392">
          <w:marLeft w:val="0"/>
          <w:marRight w:val="0"/>
          <w:marTop w:val="0"/>
          <w:marBottom w:val="0"/>
          <w:divBdr>
            <w:top w:val="none" w:sz="0" w:space="0" w:color="auto"/>
            <w:left w:val="none" w:sz="0" w:space="0" w:color="auto"/>
            <w:bottom w:val="none" w:sz="0" w:space="0" w:color="auto"/>
            <w:right w:val="none" w:sz="0" w:space="0" w:color="auto"/>
          </w:divBdr>
        </w:div>
        <w:div w:id="74254060">
          <w:marLeft w:val="0"/>
          <w:marRight w:val="0"/>
          <w:marTop w:val="0"/>
          <w:marBottom w:val="0"/>
          <w:divBdr>
            <w:top w:val="none" w:sz="0" w:space="0" w:color="auto"/>
            <w:left w:val="none" w:sz="0" w:space="0" w:color="auto"/>
            <w:bottom w:val="none" w:sz="0" w:space="0" w:color="auto"/>
            <w:right w:val="none" w:sz="0" w:space="0" w:color="auto"/>
          </w:divBdr>
        </w:div>
      </w:divsChild>
    </w:div>
    <w:div w:id="347173795">
      <w:bodyDiv w:val="1"/>
      <w:marLeft w:val="0"/>
      <w:marRight w:val="0"/>
      <w:marTop w:val="0"/>
      <w:marBottom w:val="0"/>
      <w:divBdr>
        <w:top w:val="none" w:sz="0" w:space="0" w:color="auto"/>
        <w:left w:val="none" w:sz="0" w:space="0" w:color="auto"/>
        <w:bottom w:val="none" w:sz="0" w:space="0" w:color="auto"/>
        <w:right w:val="none" w:sz="0" w:space="0" w:color="auto"/>
      </w:divBdr>
    </w:div>
    <w:div w:id="423041374">
      <w:bodyDiv w:val="1"/>
      <w:marLeft w:val="0"/>
      <w:marRight w:val="0"/>
      <w:marTop w:val="0"/>
      <w:marBottom w:val="0"/>
      <w:divBdr>
        <w:top w:val="none" w:sz="0" w:space="0" w:color="auto"/>
        <w:left w:val="none" w:sz="0" w:space="0" w:color="auto"/>
        <w:bottom w:val="none" w:sz="0" w:space="0" w:color="auto"/>
        <w:right w:val="none" w:sz="0" w:space="0" w:color="auto"/>
      </w:divBdr>
    </w:div>
    <w:div w:id="424116030">
      <w:bodyDiv w:val="1"/>
      <w:marLeft w:val="0"/>
      <w:marRight w:val="0"/>
      <w:marTop w:val="0"/>
      <w:marBottom w:val="0"/>
      <w:divBdr>
        <w:top w:val="none" w:sz="0" w:space="0" w:color="auto"/>
        <w:left w:val="none" w:sz="0" w:space="0" w:color="auto"/>
        <w:bottom w:val="none" w:sz="0" w:space="0" w:color="auto"/>
        <w:right w:val="none" w:sz="0" w:space="0" w:color="auto"/>
      </w:divBdr>
    </w:div>
    <w:div w:id="470712022">
      <w:bodyDiv w:val="1"/>
      <w:marLeft w:val="0"/>
      <w:marRight w:val="0"/>
      <w:marTop w:val="0"/>
      <w:marBottom w:val="0"/>
      <w:divBdr>
        <w:top w:val="none" w:sz="0" w:space="0" w:color="auto"/>
        <w:left w:val="none" w:sz="0" w:space="0" w:color="auto"/>
        <w:bottom w:val="none" w:sz="0" w:space="0" w:color="auto"/>
        <w:right w:val="none" w:sz="0" w:space="0" w:color="auto"/>
      </w:divBdr>
    </w:div>
    <w:div w:id="488253425">
      <w:bodyDiv w:val="1"/>
      <w:marLeft w:val="0"/>
      <w:marRight w:val="0"/>
      <w:marTop w:val="0"/>
      <w:marBottom w:val="0"/>
      <w:divBdr>
        <w:top w:val="none" w:sz="0" w:space="0" w:color="auto"/>
        <w:left w:val="none" w:sz="0" w:space="0" w:color="auto"/>
        <w:bottom w:val="none" w:sz="0" w:space="0" w:color="auto"/>
        <w:right w:val="none" w:sz="0" w:space="0" w:color="auto"/>
      </w:divBdr>
    </w:div>
    <w:div w:id="494149131">
      <w:bodyDiv w:val="1"/>
      <w:marLeft w:val="0"/>
      <w:marRight w:val="0"/>
      <w:marTop w:val="0"/>
      <w:marBottom w:val="0"/>
      <w:divBdr>
        <w:top w:val="none" w:sz="0" w:space="0" w:color="auto"/>
        <w:left w:val="none" w:sz="0" w:space="0" w:color="auto"/>
        <w:bottom w:val="none" w:sz="0" w:space="0" w:color="auto"/>
        <w:right w:val="none" w:sz="0" w:space="0" w:color="auto"/>
      </w:divBdr>
    </w:div>
    <w:div w:id="498271438">
      <w:bodyDiv w:val="1"/>
      <w:marLeft w:val="0"/>
      <w:marRight w:val="0"/>
      <w:marTop w:val="0"/>
      <w:marBottom w:val="0"/>
      <w:divBdr>
        <w:top w:val="none" w:sz="0" w:space="0" w:color="auto"/>
        <w:left w:val="none" w:sz="0" w:space="0" w:color="auto"/>
        <w:bottom w:val="none" w:sz="0" w:space="0" w:color="auto"/>
        <w:right w:val="none" w:sz="0" w:space="0" w:color="auto"/>
      </w:divBdr>
    </w:div>
    <w:div w:id="535461393">
      <w:bodyDiv w:val="1"/>
      <w:marLeft w:val="0"/>
      <w:marRight w:val="0"/>
      <w:marTop w:val="0"/>
      <w:marBottom w:val="0"/>
      <w:divBdr>
        <w:top w:val="none" w:sz="0" w:space="0" w:color="auto"/>
        <w:left w:val="none" w:sz="0" w:space="0" w:color="auto"/>
        <w:bottom w:val="none" w:sz="0" w:space="0" w:color="auto"/>
        <w:right w:val="none" w:sz="0" w:space="0" w:color="auto"/>
      </w:divBdr>
    </w:div>
    <w:div w:id="537011012">
      <w:bodyDiv w:val="1"/>
      <w:marLeft w:val="0"/>
      <w:marRight w:val="0"/>
      <w:marTop w:val="0"/>
      <w:marBottom w:val="0"/>
      <w:divBdr>
        <w:top w:val="none" w:sz="0" w:space="0" w:color="auto"/>
        <w:left w:val="none" w:sz="0" w:space="0" w:color="auto"/>
        <w:bottom w:val="none" w:sz="0" w:space="0" w:color="auto"/>
        <w:right w:val="none" w:sz="0" w:space="0" w:color="auto"/>
      </w:divBdr>
    </w:div>
    <w:div w:id="541790766">
      <w:bodyDiv w:val="1"/>
      <w:marLeft w:val="0"/>
      <w:marRight w:val="0"/>
      <w:marTop w:val="0"/>
      <w:marBottom w:val="0"/>
      <w:divBdr>
        <w:top w:val="none" w:sz="0" w:space="0" w:color="auto"/>
        <w:left w:val="none" w:sz="0" w:space="0" w:color="auto"/>
        <w:bottom w:val="none" w:sz="0" w:space="0" w:color="auto"/>
        <w:right w:val="none" w:sz="0" w:space="0" w:color="auto"/>
      </w:divBdr>
    </w:div>
    <w:div w:id="548297976">
      <w:bodyDiv w:val="1"/>
      <w:marLeft w:val="0"/>
      <w:marRight w:val="0"/>
      <w:marTop w:val="0"/>
      <w:marBottom w:val="0"/>
      <w:divBdr>
        <w:top w:val="none" w:sz="0" w:space="0" w:color="auto"/>
        <w:left w:val="none" w:sz="0" w:space="0" w:color="auto"/>
        <w:bottom w:val="none" w:sz="0" w:space="0" w:color="auto"/>
        <w:right w:val="none" w:sz="0" w:space="0" w:color="auto"/>
      </w:divBdr>
    </w:div>
    <w:div w:id="561332276">
      <w:bodyDiv w:val="1"/>
      <w:marLeft w:val="0"/>
      <w:marRight w:val="0"/>
      <w:marTop w:val="0"/>
      <w:marBottom w:val="0"/>
      <w:divBdr>
        <w:top w:val="none" w:sz="0" w:space="0" w:color="auto"/>
        <w:left w:val="none" w:sz="0" w:space="0" w:color="auto"/>
        <w:bottom w:val="none" w:sz="0" w:space="0" w:color="auto"/>
        <w:right w:val="none" w:sz="0" w:space="0" w:color="auto"/>
      </w:divBdr>
    </w:div>
    <w:div w:id="637690894">
      <w:bodyDiv w:val="1"/>
      <w:marLeft w:val="0"/>
      <w:marRight w:val="0"/>
      <w:marTop w:val="0"/>
      <w:marBottom w:val="0"/>
      <w:divBdr>
        <w:top w:val="none" w:sz="0" w:space="0" w:color="auto"/>
        <w:left w:val="none" w:sz="0" w:space="0" w:color="auto"/>
        <w:bottom w:val="none" w:sz="0" w:space="0" w:color="auto"/>
        <w:right w:val="none" w:sz="0" w:space="0" w:color="auto"/>
      </w:divBdr>
    </w:div>
    <w:div w:id="645358833">
      <w:bodyDiv w:val="1"/>
      <w:marLeft w:val="0"/>
      <w:marRight w:val="0"/>
      <w:marTop w:val="0"/>
      <w:marBottom w:val="0"/>
      <w:divBdr>
        <w:top w:val="none" w:sz="0" w:space="0" w:color="auto"/>
        <w:left w:val="none" w:sz="0" w:space="0" w:color="auto"/>
        <w:bottom w:val="none" w:sz="0" w:space="0" w:color="auto"/>
        <w:right w:val="none" w:sz="0" w:space="0" w:color="auto"/>
      </w:divBdr>
    </w:div>
    <w:div w:id="657925711">
      <w:bodyDiv w:val="1"/>
      <w:marLeft w:val="0"/>
      <w:marRight w:val="0"/>
      <w:marTop w:val="0"/>
      <w:marBottom w:val="0"/>
      <w:divBdr>
        <w:top w:val="none" w:sz="0" w:space="0" w:color="auto"/>
        <w:left w:val="none" w:sz="0" w:space="0" w:color="auto"/>
        <w:bottom w:val="none" w:sz="0" w:space="0" w:color="auto"/>
        <w:right w:val="none" w:sz="0" w:space="0" w:color="auto"/>
      </w:divBdr>
    </w:div>
    <w:div w:id="685910192">
      <w:bodyDiv w:val="1"/>
      <w:marLeft w:val="0"/>
      <w:marRight w:val="0"/>
      <w:marTop w:val="0"/>
      <w:marBottom w:val="0"/>
      <w:divBdr>
        <w:top w:val="none" w:sz="0" w:space="0" w:color="auto"/>
        <w:left w:val="none" w:sz="0" w:space="0" w:color="auto"/>
        <w:bottom w:val="none" w:sz="0" w:space="0" w:color="auto"/>
        <w:right w:val="none" w:sz="0" w:space="0" w:color="auto"/>
      </w:divBdr>
    </w:div>
    <w:div w:id="742874076">
      <w:bodyDiv w:val="1"/>
      <w:marLeft w:val="0"/>
      <w:marRight w:val="0"/>
      <w:marTop w:val="0"/>
      <w:marBottom w:val="0"/>
      <w:divBdr>
        <w:top w:val="none" w:sz="0" w:space="0" w:color="auto"/>
        <w:left w:val="none" w:sz="0" w:space="0" w:color="auto"/>
        <w:bottom w:val="none" w:sz="0" w:space="0" w:color="auto"/>
        <w:right w:val="none" w:sz="0" w:space="0" w:color="auto"/>
      </w:divBdr>
    </w:div>
    <w:div w:id="744228205">
      <w:bodyDiv w:val="1"/>
      <w:marLeft w:val="0"/>
      <w:marRight w:val="0"/>
      <w:marTop w:val="0"/>
      <w:marBottom w:val="0"/>
      <w:divBdr>
        <w:top w:val="none" w:sz="0" w:space="0" w:color="auto"/>
        <w:left w:val="none" w:sz="0" w:space="0" w:color="auto"/>
        <w:bottom w:val="none" w:sz="0" w:space="0" w:color="auto"/>
        <w:right w:val="none" w:sz="0" w:space="0" w:color="auto"/>
      </w:divBdr>
    </w:div>
    <w:div w:id="752313763">
      <w:bodyDiv w:val="1"/>
      <w:marLeft w:val="0"/>
      <w:marRight w:val="0"/>
      <w:marTop w:val="0"/>
      <w:marBottom w:val="0"/>
      <w:divBdr>
        <w:top w:val="none" w:sz="0" w:space="0" w:color="auto"/>
        <w:left w:val="none" w:sz="0" w:space="0" w:color="auto"/>
        <w:bottom w:val="none" w:sz="0" w:space="0" w:color="auto"/>
        <w:right w:val="none" w:sz="0" w:space="0" w:color="auto"/>
      </w:divBdr>
    </w:div>
    <w:div w:id="756750376">
      <w:bodyDiv w:val="1"/>
      <w:marLeft w:val="0"/>
      <w:marRight w:val="0"/>
      <w:marTop w:val="0"/>
      <w:marBottom w:val="0"/>
      <w:divBdr>
        <w:top w:val="none" w:sz="0" w:space="0" w:color="auto"/>
        <w:left w:val="none" w:sz="0" w:space="0" w:color="auto"/>
        <w:bottom w:val="none" w:sz="0" w:space="0" w:color="auto"/>
        <w:right w:val="none" w:sz="0" w:space="0" w:color="auto"/>
      </w:divBdr>
    </w:div>
    <w:div w:id="782461750">
      <w:bodyDiv w:val="1"/>
      <w:marLeft w:val="0"/>
      <w:marRight w:val="0"/>
      <w:marTop w:val="0"/>
      <w:marBottom w:val="0"/>
      <w:divBdr>
        <w:top w:val="none" w:sz="0" w:space="0" w:color="auto"/>
        <w:left w:val="none" w:sz="0" w:space="0" w:color="auto"/>
        <w:bottom w:val="none" w:sz="0" w:space="0" w:color="auto"/>
        <w:right w:val="none" w:sz="0" w:space="0" w:color="auto"/>
      </w:divBdr>
    </w:div>
    <w:div w:id="805196049">
      <w:bodyDiv w:val="1"/>
      <w:marLeft w:val="0"/>
      <w:marRight w:val="0"/>
      <w:marTop w:val="0"/>
      <w:marBottom w:val="0"/>
      <w:divBdr>
        <w:top w:val="none" w:sz="0" w:space="0" w:color="auto"/>
        <w:left w:val="none" w:sz="0" w:space="0" w:color="auto"/>
        <w:bottom w:val="none" w:sz="0" w:space="0" w:color="auto"/>
        <w:right w:val="none" w:sz="0" w:space="0" w:color="auto"/>
      </w:divBdr>
    </w:div>
    <w:div w:id="839123580">
      <w:bodyDiv w:val="1"/>
      <w:marLeft w:val="0"/>
      <w:marRight w:val="0"/>
      <w:marTop w:val="0"/>
      <w:marBottom w:val="0"/>
      <w:divBdr>
        <w:top w:val="none" w:sz="0" w:space="0" w:color="auto"/>
        <w:left w:val="none" w:sz="0" w:space="0" w:color="auto"/>
        <w:bottom w:val="none" w:sz="0" w:space="0" w:color="auto"/>
        <w:right w:val="none" w:sz="0" w:space="0" w:color="auto"/>
      </w:divBdr>
    </w:div>
    <w:div w:id="863790930">
      <w:bodyDiv w:val="1"/>
      <w:marLeft w:val="0"/>
      <w:marRight w:val="0"/>
      <w:marTop w:val="0"/>
      <w:marBottom w:val="0"/>
      <w:divBdr>
        <w:top w:val="none" w:sz="0" w:space="0" w:color="auto"/>
        <w:left w:val="none" w:sz="0" w:space="0" w:color="auto"/>
        <w:bottom w:val="none" w:sz="0" w:space="0" w:color="auto"/>
        <w:right w:val="none" w:sz="0" w:space="0" w:color="auto"/>
      </w:divBdr>
    </w:div>
    <w:div w:id="869538101">
      <w:bodyDiv w:val="1"/>
      <w:marLeft w:val="0"/>
      <w:marRight w:val="0"/>
      <w:marTop w:val="0"/>
      <w:marBottom w:val="0"/>
      <w:divBdr>
        <w:top w:val="none" w:sz="0" w:space="0" w:color="auto"/>
        <w:left w:val="none" w:sz="0" w:space="0" w:color="auto"/>
        <w:bottom w:val="none" w:sz="0" w:space="0" w:color="auto"/>
        <w:right w:val="none" w:sz="0" w:space="0" w:color="auto"/>
      </w:divBdr>
    </w:div>
    <w:div w:id="898395520">
      <w:bodyDiv w:val="1"/>
      <w:marLeft w:val="0"/>
      <w:marRight w:val="0"/>
      <w:marTop w:val="0"/>
      <w:marBottom w:val="0"/>
      <w:divBdr>
        <w:top w:val="none" w:sz="0" w:space="0" w:color="auto"/>
        <w:left w:val="none" w:sz="0" w:space="0" w:color="auto"/>
        <w:bottom w:val="none" w:sz="0" w:space="0" w:color="auto"/>
        <w:right w:val="none" w:sz="0" w:space="0" w:color="auto"/>
      </w:divBdr>
    </w:div>
    <w:div w:id="956720369">
      <w:bodyDiv w:val="1"/>
      <w:marLeft w:val="0"/>
      <w:marRight w:val="0"/>
      <w:marTop w:val="0"/>
      <w:marBottom w:val="0"/>
      <w:divBdr>
        <w:top w:val="none" w:sz="0" w:space="0" w:color="auto"/>
        <w:left w:val="none" w:sz="0" w:space="0" w:color="auto"/>
        <w:bottom w:val="none" w:sz="0" w:space="0" w:color="auto"/>
        <w:right w:val="none" w:sz="0" w:space="0" w:color="auto"/>
      </w:divBdr>
    </w:div>
    <w:div w:id="969820391">
      <w:bodyDiv w:val="1"/>
      <w:marLeft w:val="0"/>
      <w:marRight w:val="0"/>
      <w:marTop w:val="0"/>
      <w:marBottom w:val="0"/>
      <w:divBdr>
        <w:top w:val="none" w:sz="0" w:space="0" w:color="auto"/>
        <w:left w:val="none" w:sz="0" w:space="0" w:color="auto"/>
        <w:bottom w:val="none" w:sz="0" w:space="0" w:color="auto"/>
        <w:right w:val="none" w:sz="0" w:space="0" w:color="auto"/>
      </w:divBdr>
    </w:div>
    <w:div w:id="976301505">
      <w:bodyDiv w:val="1"/>
      <w:marLeft w:val="0"/>
      <w:marRight w:val="0"/>
      <w:marTop w:val="0"/>
      <w:marBottom w:val="0"/>
      <w:divBdr>
        <w:top w:val="none" w:sz="0" w:space="0" w:color="auto"/>
        <w:left w:val="none" w:sz="0" w:space="0" w:color="auto"/>
        <w:bottom w:val="none" w:sz="0" w:space="0" w:color="auto"/>
        <w:right w:val="none" w:sz="0" w:space="0" w:color="auto"/>
      </w:divBdr>
    </w:div>
    <w:div w:id="982546728">
      <w:bodyDiv w:val="1"/>
      <w:marLeft w:val="0"/>
      <w:marRight w:val="0"/>
      <w:marTop w:val="0"/>
      <w:marBottom w:val="0"/>
      <w:divBdr>
        <w:top w:val="none" w:sz="0" w:space="0" w:color="auto"/>
        <w:left w:val="none" w:sz="0" w:space="0" w:color="auto"/>
        <w:bottom w:val="none" w:sz="0" w:space="0" w:color="auto"/>
        <w:right w:val="none" w:sz="0" w:space="0" w:color="auto"/>
      </w:divBdr>
    </w:div>
    <w:div w:id="987829807">
      <w:bodyDiv w:val="1"/>
      <w:marLeft w:val="0"/>
      <w:marRight w:val="0"/>
      <w:marTop w:val="0"/>
      <w:marBottom w:val="0"/>
      <w:divBdr>
        <w:top w:val="none" w:sz="0" w:space="0" w:color="auto"/>
        <w:left w:val="none" w:sz="0" w:space="0" w:color="auto"/>
        <w:bottom w:val="none" w:sz="0" w:space="0" w:color="auto"/>
        <w:right w:val="none" w:sz="0" w:space="0" w:color="auto"/>
      </w:divBdr>
    </w:div>
    <w:div w:id="1003819014">
      <w:bodyDiv w:val="1"/>
      <w:marLeft w:val="0"/>
      <w:marRight w:val="0"/>
      <w:marTop w:val="0"/>
      <w:marBottom w:val="0"/>
      <w:divBdr>
        <w:top w:val="none" w:sz="0" w:space="0" w:color="auto"/>
        <w:left w:val="none" w:sz="0" w:space="0" w:color="auto"/>
        <w:bottom w:val="none" w:sz="0" w:space="0" w:color="auto"/>
        <w:right w:val="none" w:sz="0" w:space="0" w:color="auto"/>
      </w:divBdr>
    </w:div>
    <w:div w:id="1015575454">
      <w:bodyDiv w:val="1"/>
      <w:marLeft w:val="0"/>
      <w:marRight w:val="0"/>
      <w:marTop w:val="0"/>
      <w:marBottom w:val="0"/>
      <w:divBdr>
        <w:top w:val="none" w:sz="0" w:space="0" w:color="auto"/>
        <w:left w:val="none" w:sz="0" w:space="0" w:color="auto"/>
        <w:bottom w:val="none" w:sz="0" w:space="0" w:color="auto"/>
        <w:right w:val="none" w:sz="0" w:space="0" w:color="auto"/>
      </w:divBdr>
    </w:div>
    <w:div w:id="1048190215">
      <w:bodyDiv w:val="1"/>
      <w:marLeft w:val="0"/>
      <w:marRight w:val="0"/>
      <w:marTop w:val="0"/>
      <w:marBottom w:val="0"/>
      <w:divBdr>
        <w:top w:val="none" w:sz="0" w:space="0" w:color="auto"/>
        <w:left w:val="none" w:sz="0" w:space="0" w:color="auto"/>
        <w:bottom w:val="none" w:sz="0" w:space="0" w:color="auto"/>
        <w:right w:val="none" w:sz="0" w:space="0" w:color="auto"/>
      </w:divBdr>
    </w:div>
    <w:div w:id="1079909647">
      <w:bodyDiv w:val="1"/>
      <w:marLeft w:val="0"/>
      <w:marRight w:val="0"/>
      <w:marTop w:val="0"/>
      <w:marBottom w:val="0"/>
      <w:divBdr>
        <w:top w:val="none" w:sz="0" w:space="0" w:color="auto"/>
        <w:left w:val="none" w:sz="0" w:space="0" w:color="auto"/>
        <w:bottom w:val="none" w:sz="0" w:space="0" w:color="auto"/>
        <w:right w:val="none" w:sz="0" w:space="0" w:color="auto"/>
      </w:divBdr>
    </w:div>
    <w:div w:id="1177185479">
      <w:bodyDiv w:val="1"/>
      <w:marLeft w:val="0"/>
      <w:marRight w:val="0"/>
      <w:marTop w:val="0"/>
      <w:marBottom w:val="0"/>
      <w:divBdr>
        <w:top w:val="none" w:sz="0" w:space="0" w:color="auto"/>
        <w:left w:val="none" w:sz="0" w:space="0" w:color="auto"/>
        <w:bottom w:val="none" w:sz="0" w:space="0" w:color="auto"/>
        <w:right w:val="none" w:sz="0" w:space="0" w:color="auto"/>
      </w:divBdr>
    </w:div>
    <w:div w:id="1192720702">
      <w:bodyDiv w:val="1"/>
      <w:marLeft w:val="0"/>
      <w:marRight w:val="0"/>
      <w:marTop w:val="0"/>
      <w:marBottom w:val="0"/>
      <w:divBdr>
        <w:top w:val="none" w:sz="0" w:space="0" w:color="auto"/>
        <w:left w:val="none" w:sz="0" w:space="0" w:color="auto"/>
        <w:bottom w:val="none" w:sz="0" w:space="0" w:color="auto"/>
        <w:right w:val="none" w:sz="0" w:space="0" w:color="auto"/>
      </w:divBdr>
    </w:div>
    <w:div w:id="1233194958">
      <w:bodyDiv w:val="1"/>
      <w:marLeft w:val="0"/>
      <w:marRight w:val="0"/>
      <w:marTop w:val="0"/>
      <w:marBottom w:val="0"/>
      <w:divBdr>
        <w:top w:val="none" w:sz="0" w:space="0" w:color="auto"/>
        <w:left w:val="none" w:sz="0" w:space="0" w:color="auto"/>
        <w:bottom w:val="none" w:sz="0" w:space="0" w:color="auto"/>
        <w:right w:val="none" w:sz="0" w:space="0" w:color="auto"/>
      </w:divBdr>
    </w:div>
    <w:div w:id="1260217871">
      <w:bodyDiv w:val="1"/>
      <w:marLeft w:val="0"/>
      <w:marRight w:val="0"/>
      <w:marTop w:val="0"/>
      <w:marBottom w:val="0"/>
      <w:divBdr>
        <w:top w:val="none" w:sz="0" w:space="0" w:color="auto"/>
        <w:left w:val="none" w:sz="0" w:space="0" w:color="auto"/>
        <w:bottom w:val="none" w:sz="0" w:space="0" w:color="auto"/>
        <w:right w:val="none" w:sz="0" w:space="0" w:color="auto"/>
      </w:divBdr>
    </w:div>
    <w:div w:id="1268274418">
      <w:bodyDiv w:val="1"/>
      <w:marLeft w:val="0"/>
      <w:marRight w:val="0"/>
      <w:marTop w:val="0"/>
      <w:marBottom w:val="0"/>
      <w:divBdr>
        <w:top w:val="none" w:sz="0" w:space="0" w:color="auto"/>
        <w:left w:val="none" w:sz="0" w:space="0" w:color="auto"/>
        <w:bottom w:val="none" w:sz="0" w:space="0" w:color="auto"/>
        <w:right w:val="none" w:sz="0" w:space="0" w:color="auto"/>
      </w:divBdr>
    </w:div>
    <w:div w:id="1365859772">
      <w:bodyDiv w:val="1"/>
      <w:marLeft w:val="0"/>
      <w:marRight w:val="0"/>
      <w:marTop w:val="0"/>
      <w:marBottom w:val="0"/>
      <w:divBdr>
        <w:top w:val="none" w:sz="0" w:space="0" w:color="auto"/>
        <w:left w:val="none" w:sz="0" w:space="0" w:color="auto"/>
        <w:bottom w:val="none" w:sz="0" w:space="0" w:color="auto"/>
        <w:right w:val="none" w:sz="0" w:space="0" w:color="auto"/>
      </w:divBdr>
    </w:div>
    <w:div w:id="1385135123">
      <w:bodyDiv w:val="1"/>
      <w:marLeft w:val="0"/>
      <w:marRight w:val="0"/>
      <w:marTop w:val="0"/>
      <w:marBottom w:val="0"/>
      <w:divBdr>
        <w:top w:val="none" w:sz="0" w:space="0" w:color="auto"/>
        <w:left w:val="none" w:sz="0" w:space="0" w:color="auto"/>
        <w:bottom w:val="none" w:sz="0" w:space="0" w:color="auto"/>
        <w:right w:val="none" w:sz="0" w:space="0" w:color="auto"/>
      </w:divBdr>
    </w:div>
    <w:div w:id="1403410086">
      <w:bodyDiv w:val="1"/>
      <w:marLeft w:val="0"/>
      <w:marRight w:val="0"/>
      <w:marTop w:val="0"/>
      <w:marBottom w:val="0"/>
      <w:divBdr>
        <w:top w:val="none" w:sz="0" w:space="0" w:color="auto"/>
        <w:left w:val="none" w:sz="0" w:space="0" w:color="auto"/>
        <w:bottom w:val="none" w:sz="0" w:space="0" w:color="auto"/>
        <w:right w:val="none" w:sz="0" w:space="0" w:color="auto"/>
      </w:divBdr>
    </w:div>
    <w:div w:id="1451508790">
      <w:bodyDiv w:val="1"/>
      <w:marLeft w:val="0"/>
      <w:marRight w:val="0"/>
      <w:marTop w:val="0"/>
      <w:marBottom w:val="0"/>
      <w:divBdr>
        <w:top w:val="none" w:sz="0" w:space="0" w:color="auto"/>
        <w:left w:val="none" w:sz="0" w:space="0" w:color="auto"/>
        <w:bottom w:val="none" w:sz="0" w:space="0" w:color="auto"/>
        <w:right w:val="none" w:sz="0" w:space="0" w:color="auto"/>
      </w:divBdr>
    </w:div>
    <w:div w:id="1576011041">
      <w:bodyDiv w:val="1"/>
      <w:marLeft w:val="0"/>
      <w:marRight w:val="0"/>
      <w:marTop w:val="0"/>
      <w:marBottom w:val="0"/>
      <w:divBdr>
        <w:top w:val="none" w:sz="0" w:space="0" w:color="auto"/>
        <w:left w:val="none" w:sz="0" w:space="0" w:color="auto"/>
        <w:bottom w:val="none" w:sz="0" w:space="0" w:color="auto"/>
        <w:right w:val="none" w:sz="0" w:space="0" w:color="auto"/>
      </w:divBdr>
    </w:div>
    <w:div w:id="1585458976">
      <w:bodyDiv w:val="1"/>
      <w:marLeft w:val="0"/>
      <w:marRight w:val="0"/>
      <w:marTop w:val="0"/>
      <w:marBottom w:val="0"/>
      <w:divBdr>
        <w:top w:val="none" w:sz="0" w:space="0" w:color="auto"/>
        <w:left w:val="none" w:sz="0" w:space="0" w:color="auto"/>
        <w:bottom w:val="none" w:sz="0" w:space="0" w:color="auto"/>
        <w:right w:val="none" w:sz="0" w:space="0" w:color="auto"/>
      </w:divBdr>
    </w:div>
    <w:div w:id="1634171437">
      <w:bodyDiv w:val="1"/>
      <w:marLeft w:val="0"/>
      <w:marRight w:val="0"/>
      <w:marTop w:val="0"/>
      <w:marBottom w:val="0"/>
      <w:divBdr>
        <w:top w:val="none" w:sz="0" w:space="0" w:color="auto"/>
        <w:left w:val="none" w:sz="0" w:space="0" w:color="auto"/>
        <w:bottom w:val="none" w:sz="0" w:space="0" w:color="auto"/>
        <w:right w:val="none" w:sz="0" w:space="0" w:color="auto"/>
      </w:divBdr>
    </w:div>
    <w:div w:id="1704329615">
      <w:bodyDiv w:val="1"/>
      <w:marLeft w:val="0"/>
      <w:marRight w:val="0"/>
      <w:marTop w:val="0"/>
      <w:marBottom w:val="0"/>
      <w:divBdr>
        <w:top w:val="none" w:sz="0" w:space="0" w:color="auto"/>
        <w:left w:val="none" w:sz="0" w:space="0" w:color="auto"/>
        <w:bottom w:val="none" w:sz="0" w:space="0" w:color="auto"/>
        <w:right w:val="none" w:sz="0" w:space="0" w:color="auto"/>
      </w:divBdr>
    </w:div>
    <w:div w:id="1716469745">
      <w:bodyDiv w:val="1"/>
      <w:marLeft w:val="0"/>
      <w:marRight w:val="0"/>
      <w:marTop w:val="0"/>
      <w:marBottom w:val="0"/>
      <w:divBdr>
        <w:top w:val="none" w:sz="0" w:space="0" w:color="auto"/>
        <w:left w:val="none" w:sz="0" w:space="0" w:color="auto"/>
        <w:bottom w:val="none" w:sz="0" w:space="0" w:color="auto"/>
        <w:right w:val="none" w:sz="0" w:space="0" w:color="auto"/>
      </w:divBdr>
    </w:div>
    <w:div w:id="1727099172">
      <w:bodyDiv w:val="1"/>
      <w:marLeft w:val="0"/>
      <w:marRight w:val="0"/>
      <w:marTop w:val="0"/>
      <w:marBottom w:val="0"/>
      <w:divBdr>
        <w:top w:val="none" w:sz="0" w:space="0" w:color="auto"/>
        <w:left w:val="none" w:sz="0" w:space="0" w:color="auto"/>
        <w:bottom w:val="none" w:sz="0" w:space="0" w:color="auto"/>
        <w:right w:val="none" w:sz="0" w:space="0" w:color="auto"/>
      </w:divBdr>
    </w:div>
    <w:div w:id="1734621271">
      <w:bodyDiv w:val="1"/>
      <w:marLeft w:val="0"/>
      <w:marRight w:val="0"/>
      <w:marTop w:val="0"/>
      <w:marBottom w:val="0"/>
      <w:divBdr>
        <w:top w:val="none" w:sz="0" w:space="0" w:color="auto"/>
        <w:left w:val="none" w:sz="0" w:space="0" w:color="auto"/>
        <w:bottom w:val="none" w:sz="0" w:space="0" w:color="auto"/>
        <w:right w:val="none" w:sz="0" w:space="0" w:color="auto"/>
      </w:divBdr>
    </w:div>
    <w:div w:id="1742025535">
      <w:bodyDiv w:val="1"/>
      <w:marLeft w:val="0"/>
      <w:marRight w:val="0"/>
      <w:marTop w:val="0"/>
      <w:marBottom w:val="0"/>
      <w:divBdr>
        <w:top w:val="none" w:sz="0" w:space="0" w:color="auto"/>
        <w:left w:val="none" w:sz="0" w:space="0" w:color="auto"/>
        <w:bottom w:val="none" w:sz="0" w:space="0" w:color="auto"/>
        <w:right w:val="none" w:sz="0" w:space="0" w:color="auto"/>
      </w:divBdr>
    </w:div>
    <w:div w:id="1750157421">
      <w:bodyDiv w:val="1"/>
      <w:marLeft w:val="0"/>
      <w:marRight w:val="0"/>
      <w:marTop w:val="0"/>
      <w:marBottom w:val="0"/>
      <w:divBdr>
        <w:top w:val="none" w:sz="0" w:space="0" w:color="auto"/>
        <w:left w:val="none" w:sz="0" w:space="0" w:color="auto"/>
        <w:bottom w:val="none" w:sz="0" w:space="0" w:color="auto"/>
        <w:right w:val="none" w:sz="0" w:space="0" w:color="auto"/>
      </w:divBdr>
    </w:div>
    <w:div w:id="1793092670">
      <w:bodyDiv w:val="1"/>
      <w:marLeft w:val="0"/>
      <w:marRight w:val="0"/>
      <w:marTop w:val="0"/>
      <w:marBottom w:val="0"/>
      <w:divBdr>
        <w:top w:val="none" w:sz="0" w:space="0" w:color="auto"/>
        <w:left w:val="none" w:sz="0" w:space="0" w:color="auto"/>
        <w:bottom w:val="none" w:sz="0" w:space="0" w:color="auto"/>
        <w:right w:val="none" w:sz="0" w:space="0" w:color="auto"/>
      </w:divBdr>
    </w:div>
    <w:div w:id="1800032468">
      <w:bodyDiv w:val="1"/>
      <w:marLeft w:val="0"/>
      <w:marRight w:val="0"/>
      <w:marTop w:val="0"/>
      <w:marBottom w:val="0"/>
      <w:divBdr>
        <w:top w:val="none" w:sz="0" w:space="0" w:color="auto"/>
        <w:left w:val="none" w:sz="0" w:space="0" w:color="auto"/>
        <w:bottom w:val="none" w:sz="0" w:space="0" w:color="auto"/>
        <w:right w:val="none" w:sz="0" w:space="0" w:color="auto"/>
      </w:divBdr>
    </w:div>
    <w:div w:id="1820002281">
      <w:bodyDiv w:val="1"/>
      <w:marLeft w:val="0"/>
      <w:marRight w:val="0"/>
      <w:marTop w:val="0"/>
      <w:marBottom w:val="0"/>
      <w:divBdr>
        <w:top w:val="none" w:sz="0" w:space="0" w:color="auto"/>
        <w:left w:val="none" w:sz="0" w:space="0" w:color="auto"/>
        <w:bottom w:val="none" w:sz="0" w:space="0" w:color="auto"/>
        <w:right w:val="none" w:sz="0" w:space="0" w:color="auto"/>
      </w:divBdr>
    </w:div>
    <w:div w:id="1841889722">
      <w:bodyDiv w:val="1"/>
      <w:marLeft w:val="0"/>
      <w:marRight w:val="0"/>
      <w:marTop w:val="0"/>
      <w:marBottom w:val="0"/>
      <w:divBdr>
        <w:top w:val="none" w:sz="0" w:space="0" w:color="auto"/>
        <w:left w:val="none" w:sz="0" w:space="0" w:color="auto"/>
        <w:bottom w:val="none" w:sz="0" w:space="0" w:color="auto"/>
        <w:right w:val="none" w:sz="0" w:space="0" w:color="auto"/>
      </w:divBdr>
    </w:div>
    <w:div w:id="1844667563">
      <w:bodyDiv w:val="1"/>
      <w:marLeft w:val="0"/>
      <w:marRight w:val="0"/>
      <w:marTop w:val="0"/>
      <w:marBottom w:val="0"/>
      <w:divBdr>
        <w:top w:val="none" w:sz="0" w:space="0" w:color="auto"/>
        <w:left w:val="none" w:sz="0" w:space="0" w:color="auto"/>
        <w:bottom w:val="none" w:sz="0" w:space="0" w:color="auto"/>
        <w:right w:val="none" w:sz="0" w:space="0" w:color="auto"/>
      </w:divBdr>
    </w:div>
    <w:div w:id="1854105482">
      <w:bodyDiv w:val="1"/>
      <w:marLeft w:val="0"/>
      <w:marRight w:val="0"/>
      <w:marTop w:val="0"/>
      <w:marBottom w:val="0"/>
      <w:divBdr>
        <w:top w:val="none" w:sz="0" w:space="0" w:color="auto"/>
        <w:left w:val="none" w:sz="0" w:space="0" w:color="auto"/>
        <w:bottom w:val="none" w:sz="0" w:space="0" w:color="auto"/>
        <w:right w:val="none" w:sz="0" w:space="0" w:color="auto"/>
      </w:divBdr>
    </w:div>
    <w:div w:id="1879539339">
      <w:bodyDiv w:val="1"/>
      <w:marLeft w:val="0"/>
      <w:marRight w:val="0"/>
      <w:marTop w:val="0"/>
      <w:marBottom w:val="0"/>
      <w:divBdr>
        <w:top w:val="none" w:sz="0" w:space="0" w:color="auto"/>
        <w:left w:val="none" w:sz="0" w:space="0" w:color="auto"/>
        <w:bottom w:val="none" w:sz="0" w:space="0" w:color="auto"/>
        <w:right w:val="none" w:sz="0" w:space="0" w:color="auto"/>
      </w:divBdr>
    </w:div>
    <w:div w:id="1883328073">
      <w:bodyDiv w:val="1"/>
      <w:marLeft w:val="0"/>
      <w:marRight w:val="0"/>
      <w:marTop w:val="0"/>
      <w:marBottom w:val="0"/>
      <w:divBdr>
        <w:top w:val="none" w:sz="0" w:space="0" w:color="auto"/>
        <w:left w:val="none" w:sz="0" w:space="0" w:color="auto"/>
        <w:bottom w:val="none" w:sz="0" w:space="0" w:color="auto"/>
        <w:right w:val="none" w:sz="0" w:space="0" w:color="auto"/>
      </w:divBdr>
    </w:div>
    <w:div w:id="1886091498">
      <w:bodyDiv w:val="1"/>
      <w:marLeft w:val="0"/>
      <w:marRight w:val="0"/>
      <w:marTop w:val="0"/>
      <w:marBottom w:val="0"/>
      <w:divBdr>
        <w:top w:val="none" w:sz="0" w:space="0" w:color="auto"/>
        <w:left w:val="none" w:sz="0" w:space="0" w:color="auto"/>
        <w:bottom w:val="none" w:sz="0" w:space="0" w:color="auto"/>
        <w:right w:val="none" w:sz="0" w:space="0" w:color="auto"/>
      </w:divBdr>
    </w:div>
    <w:div w:id="1896618633">
      <w:bodyDiv w:val="1"/>
      <w:marLeft w:val="0"/>
      <w:marRight w:val="0"/>
      <w:marTop w:val="0"/>
      <w:marBottom w:val="0"/>
      <w:divBdr>
        <w:top w:val="none" w:sz="0" w:space="0" w:color="auto"/>
        <w:left w:val="none" w:sz="0" w:space="0" w:color="auto"/>
        <w:bottom w:val="none" w:sz="0" w:space="0" w:color="auto"/>
        <w:right w:val="none" w:sz="0" w:space="0" w:color="auto"/>
      </w:divBdr>
    </w:div>
    <w:div w:id="1898513279">
      <w:bodyDiv w:val="1"/>
      <w:marLeft w:val="0"/>
      <w:marRight w:val="0"/>
      <w:marTop w:val="0"/>
      <w:marBottom w:val="0"/>
      <w:divBdr>
        <w:top w:val="none" w:sz="0" w:space="0" w:color="auto"/>
        <w:left w:val="none" w:sz="0" w:space="0" w:color="auto"/>
        <w:bottom w:val="none" w:sz="0" w:space="0" w:color="auto"/>
        <w:right w:val="none" w:sz="0" w:space="0" w:color="auto"/>
      </w:divBdr>
    </w:div>
    <w:div w:id="1967811525">
      <w:bodyDiv w:val="1"/>
      <w:marLeft w:val="0"/>
      <w:marRight w:val="0"/>
      <w:marTop w:val="0"/>
      <w:marBottom w:val="0"/>
      <w:divBdr>
        <w:top w:val="none" w:sz="0" w:space="0" w:color="auto"/>
        <w:left w:val="none" w:sz="0" w:space="0" w:color="auto"/>
        <w:bottom w:val="none" w:sz="0" w:space="0" w:color="auto"/>
        <w:right w:val="none" w:sz="0" w:space="0" w:color="auto"/>
      </w:divBdr>
    </w:div>
    <w:div w:id="2006088894">
      <w:bodyDiv w:val="1"/>
      <w:marLeft w:val="0"/>
      <w:marRight w:val="0"/>
      <w:marTop w:val="0"/>
      <w:marBottom w:val="0"/>
      <w:divBdr>
        <w:top w:val="none" w:sz="0" w:space="0" w:color="auto"/>
        <w:left w:val="none" w:sz="0" w:space="0" w:color="auto"/>
        <w:bottom w:val="none" w:sz="0" w:space="0" w:color="auto"/>
        <w:right w:val="none" w:sz="0" w:space="0" w:color="auto"/>
      </w:divBdr>
    </w:div>
    <w:div w:id="2014992862">
      <w:bodyDiv w:val="1"/>
      <w:marLeft w:val="0"/>
      <w:marRight w:val="0"/>
      <w:marTop w:val="0"/>
      <w:marBottom w:val="0"/>
      <w:divBdr>
        <w:top w:val="none" w:sz="0" w:space="0" w:color="auto"/>
        <w:left w:val="none" w:sz="0" w:space="0" w:color="auto"/>
        <w:bottom w:val="none" w:sz="0" w:space="0" w:color="auto"/>
        <w:right w:val="none" w:sz="0" w:space="0" w:color="auto"/>
      </w:divBdr>
    </w:div>
    <w:div w:id="2060593787">
      <w:bodyDiv w:val="1"/>
      <w:marLeft w:val="0"/>
      <w:marRight w:val="0"/>
      <w:marTop w:val="0"/>
      <w:marBottom w:val="0"/>
      <w:divBdr>
        <w:top w:val="none" w:sz="0" w:space="0" w:color="auto"/>
        <w:left w:val="none" w:sz="0" w:space="0" w:color="auto"/>
        <w:bottom w:val="none" w:sz="0" w:space="0" w:color="auto"/>
        <w:right w:val="none" w:sz="0" w:space="0" w:color="auto"/>
      </w:divBdr>
    </w:div>
    <w:div w:id="2140029114">
      <w:bodyDiv w:val="1"/>
      <w:marLeft w:val="0"/>
      <w:marRight w:val="0"/>
      <w:marTop w:val="0"/>
      <w:marBottom w:val="0"/>
      <w:divBdr>
        <w:top w:val="none" w:sz="0" w:space="0" w:color="auto"/>
        <w:left w:val="none" w:sz="0" w:space="0" w:color="auto"/>
        <w:bottom w:val="none" w:sz="0" w:space="0" w:color="auto"/>
        <w:right w:val="none" w:sz="0" w:space="0" w:color="auto"/>
      </w:divBdr>
    </w:div>
    <w:div w:id="2143766229">
      <w:bodyDiv w:val="1"/>
      <w:marLeft w:val="0"/>
      <w:marRight w:val="0"/>
      <w:marTop w:val="0"/>
      <w:marBottom w:val="0"/>
      <w:divBdr>
        <w:top w:val="none" w:sz="0" w:space="0" w:color="auto"/>
        <w:left w:val="none" w:sz="0" w:space="0" w:color="auto"/>
        <w:bottom w:val="none" w:sz="0" w:space="0" w:color="auto"/>
        <w:right w:val="none" w:sz="0" w:space="0" w:color="auto"/>
      </w:divBdr>
    </w:div>
    <w:div w:id="2144617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apers.ssrn.com/sol3/papers.cfm?abstract_id=891263"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papers.ssrn.com/sol3/cf_dev/AbsByAuth.cfm?per_id=28778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SourceType>JournalArticle</b:SourceType>
    <b:Tag>ZivneyMarcus1989</b:Tag>
    <b:Title>The day the United States defaulted on Treasury bills</b:Title>
    <b:Year>1989</b:Year>
    <b:Author>
      <b:Author>
        <b:NameList>
          <b:Person>
            <b:Last>Zivney</b:Last>
            <b:Middle>L</b:Middle>
            <b:First>Terry</b:First>
          </b:Person>
          <b:Person>
            <b:Last>Marcus</b:Last>
            <b:Middle>D</b:Middle>
            <b:First>Richard</b:First>
          </b:Person>
        </b:NameList>
      </b:Author>
    </b:Author>
    <b:Pages>475-89</b:Pages>
    <b:Volume>24</b:Volume>
    <b:JournalName>The Financial Review</b:JournalName>
    <b:Issue>3</b:Issue>
    <b:URL>http://ideas.repec.org/a/bla/finrev/v24y1989i3p475-89.html</b:URL>
    <b:RefOrder>3</b:RefOrder>
  </b:Source>
  <b:Source>
    <b:SourceType>Report</b:SourceType>
    <b:BIBTEX_Entry>unpublished</b:BIBTEX_Entry>
    <b:Tag>Zinna2009</b:Tag>
    <b:Title>Sovereign default risk premia: Evidence from the default swap market</b:Title>
    <b:Year>2009</b:Year>
    <b:Comments>Working paper</b:Comments>
    <b:Author>
      <b:Author>
        <b:NameList>
          <b:Person>
            <b:Last>Zinna</b:Last>
            <b:First>Gabriele</b:First>
          </b:Person>
        </b:NameList>
      </b:Author>
    </b:Author>
    <b:ThesisType>unpublished</b:ThesisType>
    <b:URL>http://papers.ssrn.com/sol3/papers.cfm?abstract_id=1512858</b:URL>
    <b:RefOrder>4</b:RefOrder>
  </b:Source>
  <b:Source>
    <b:SourceType>JournalArticle</b:SourceType>
    <b:Tag>Zheng2006</b:Tag>
    <b:Title>Interaction of credit and liquidity risks: Modelling and valuation</b:Title>
    <b:Year>2006</b:Year>
    <b:Author>
      <b:Author>
        <b:NameList>
          <b:Person>
            <b:Last>Zheng</b:Last>
            <b:First>Harry</b:First>
          </b:Person>
        </b:NameList>
      </b:Author>
    </b:Author>
    <b:Pages>391-407</b:Pages>
    <b:Volume>30</b:Volume>
    <b:JournalName>Journal of Banking \&amp; Finance</b:JournalName>
    <b:Issue>2</b:Issue>
    <b:URL>http://ideas.repec.org/a/eee/jbfina/v30y2006i2p391-407.html</b:URL>
    <b:RefOrder>5</b:RefOrder>
  </b:Source>
  <b:Source>
    <b:SourceType>JournalArticle</b:SourceType>
    <b:Tag>YanZhang2012</b:Tag>
    <b:Title>An improved estimation method and empirical properties of the probability of informed trading</b:Title>
    <b:Year>2012</b:Year>
    <b:Author>
      <b:Author>
        <b:NameList>
          <b:Person>
            <b:Last>Yan</b:Last>
            <b:First>Yuxing</b:First>
          </b:Person>
          <b:Person>
            <b:Last>Zhang</b:Last>
            <b:First>Shaojun</b:First>
          </b:Person>
        </b:NameList>
      </b:Author>
    </b:Author>
    <b:Pages>454-467</b:Pages>
    <b:Volume>36</b:Volume>
    <b:JournalName>Journal of Banking \&amp; Finance</b:JournalName>
    <b:Issue>2</b:Issue>
    <b:URL>http://ideas.repec.org/a/eee/jbfina/v36y2012i2p454-467.html</b:URL>
    <b:BIBTEX_KeyWords>Boundary solution Probability of informed trading PIN</b:BIBTEX_KeyWords>
    <b:RefOrder>6</b:RefOrder>
  </b:Source>
  <b:Source>
    <b:SourceType>JournalArticle</b:SourceType>
    <b:Tag>LinKe2011</b:Tag>
    <b:Title>A computing bias in estimating the probability of informed trading</b:Title>
    <b:Year>2011</b:Year>
    <b:Author>
      <b:Author>
        <b:NameList>
          <b:Person>
            <b:Last>William Lin</b:Last>
            <b:First>Hsiou-Wei</b:First>
          </b:Person>
          <b:Person>
            <b:Last>Ke</b:Last>
            <b:First>Wen-Chyan</b:First>
          </b:Person>
        </b:NameList>
      </b:Author>
    </b:Author>
    <b:Pages>625-640</b:Pages>
    <b:Volume>14</b:Volume>
    <b:JournalName>Journal of Financial Markets</b:JournalName>
    <b:Issue>4</b:Issue>
    <b:URL>http://ideas.repec.org/a/eee/finmar/v14y2011i4p625-640.html</b:URL>
    <b:BIBTEX_KeyWords>Floating-point exception Informed trading Market microstructure</b:BIBTEX_KeyWords>
    <b:RefOrder>7</b:RefOrder>
  </b:Source>
  <b:Source>
    <b:SourceType>BookSection</b:SourceType>
    <b:BIBTEX_Entry>incollection</b:BIBTEX_Entry>
    <b:Tag>Visser2002</b:Tag>
    <b:Title>Recent changes in fixed income markets and their impact on reserve management by the Netherlands Bank</b:Title>
    <b:Year>2002</b:Year>
    <b:Author>
      <b:Author>
        <b:NameList>
          <b:Person>
            <b:Last>Visser</b:Last>
            <b:First>Ad</b:First>
          </b:Person>
        </b:NameList>
      </b:Author>
      <b:Editor>
        <b:NameList>
          <b:Person>
            <b:Last>for International Settlements</b:Last>
            <b:First>Bank</b:First>
          </b:Person>
        </b:NameList>
      </b:Editor>
    </b:Author>
    <b:Pages>412-426</b:Pages>
    <b:Volume>12</b:Volume>
    <b:Publisher>Bank for International Settlements</b:Publisher>
    <b:BookTitle>Market functioning and central bank policy</b:BookTitle>
    <b:ConferenceName>Market functioning and central bank policy</b:ConferenceName>
    <b:URL>http://ideas.repec.org/h/bis/bisbpc/12-20.html</b:URL>
    <b:BIBTEX_Series>BIS Papers chapters</b:BIBTEX_Series>
    <b:RefOrder>8</b:RefOrder>
  </b:Source>
  <b:Source>
    <b:SourceType>Report</b:SourceType>
    <b:BIBTEX_Entry>unpublished</b:BIBTEX_Entry>
    <b:Tag>VenterJongh</b:Tag>
    <b:Title>Extending the EKOP model to estimate the probability of informed trading</b:Title>
    <b:Year>2004</b:Year>
    <b:Comments>Working paper</b:Comments>
    <b:Author>
      <b:Author>
        <b:NameList>
          <b:Person>
            <b:Last>Venter</b:Last>
            <b:Middle>Hendrik</b:Middle>
            <b:First>Johannes</b:First>
          </b:Person>
          <b:Person>
            <b:Last>Jongh</b:Last>
            <b:Middle>CJ De</b:Middle>
            <b:First>Dawid</b:First>
          </b:Person>
        </b:NameList>
      </b:Author>
    </b:Author>
    <b:ThesisType>unpublished</b:ThesisType>
    <b:URL>http://papers.ssrn.com/sol3/papers.cfm?abstract_id=547062</b:URL>
    <b:RefOrder>9</b:RefOrder>
  </b:Source>
  <b:Source>
    <b:SourceType>Report</b:SourceType>
    <b:BIBTEX_Entry>techreport</b:BIBTEX_Entry>
    <b:Tag>Vayanos2004</b:Tag>
    <b:Title>Flight-to-quality, flight-to-liquidity, and the pricing of risk</b:Title>
    <b:Year>2004</b:Year>
    <b:Author>
      <b:Author>
        <b:NameList>
          <b:Person>
            <b:Last>Vayanos</b:Last>
            <b:First>Dimitri</b:First>
          </b:Person>
        </b:NameList>
      </b:Author>
    </b:Author>
    <b:Issue>10327</b:Issue>
    <b:Institution>National Bureau of Economic Research, Inc</b:Institution>
    <b:ThesisType>NBER Working Papers</b:ThesisType>
    <b:URL>http://ideas.repec.org/p/nbr/nberwo/10327.html</b:URL>
    <b:RefOrder>10</b:RefOrder>
  </b:Source>
  <b:Source>
    <b:SourceType>JournalArticle</b:SourceType>
    <b:Tag>VassalouXing2004</b:Tag>
    <b:Title>Default risk in equity returns</b:Title>
    <b:Year>2004</b:Year>
    <b:Author>
      <b:Author>
        <b:NameList>
          <b:Person>
            <b:Last>Vassalou</b:Last>
            <b:First>Maria</b:First>
          </b:Person>
          <b:Person>
            <b:Last>Xing</b:Last>
            <b:First>Yuhang</b:First>
          </b:Person>
        </b:NameList>
      </b:Author>
    </b:Author>
    <b:Pages>831-868</b:Pages>
    <b:Volume>59</b:Volume>
    <b:JournalName>Journal of Finance</b:JournalName>
    <b:Issue>2</b:Issue>
    <b:URL>http://ideas.repec.org/a/bla/jfinan/v59y2004i2p831-868.html</b:URL>
    <b:RefOrder>11</b:RefOrder>
  </b:Source>
  <b:Source>
    <b:SourceType>JournalArticle</b:SourceType>
    <b:Tag>Varotto2011</b:Tag>
    <b:Title>Liquidity risk, credit risk, market risk and bank capital</b:Title>
    <b:Year>2011</b:Year>
    <b:Author>
      <b:Author>
        <b:NameList>
          <b:Person>
            <b:Last>Varotto</b:Last>
            <b:First>Simone</b:First>
          </b:Person>
        </b:NameList>
      </b:Author>
    </b:Author>
    <b:Pages>134-152</b:Pages>
    <b:Volume>7</b:Volume>
    <b:JournalName>International Journal of Managerial Finance</b:JournalName>
    <b:Issue>2</b:Issue>
    <b:URL>http://ideas.repec.org/a/eme/ijmfpp/v7y2011i2p134-152.html</b:URL>
    <b:BIBTEX_KeyWords>Capital markets; Credit; Financial risk; Liquidity; Risk management</b:BIBTEX_KeyWords>
    <b:RefOrder>12</b:RefOrder>
  </b:Source>
  <b:Source>
    <b:SourceType>Report</b:SourceType>
    <b:BIBTEX_Entry>techreport</b:BIBTEX_Entry>
    <b:Tag>Varotto2008</b:Tag>
    <b:Title>An assessment of the internal rating based approach in Basel II</b:Title>
    <b:Year>2008</b:Year>
    <b:Author>
      <b:Author>
        <b:NameList>
          <b:Person>
            <b:Last>Varotto</b:Last>
            <b:First>Simone</b:First>
          </b:Person>
        </b:NameList>
      </b:Author>
    </b:Author>
    <b:Issue>icma-dp2008-04</b:Issue>
    <b:Institution>Henley Business School, Reading University</b:Institution>
    <b:ThesisType>ICMA Centre Discussion Papers in Finance</b:ThesisType>
    <b:URL>http://ideas.repec.org/p/rdg/icmadp/icma-dp2008-04.html</b:URL>
    <b:BIBTEX_KeyWords>Basel II; Internal Rating Based Approach; Credit Rating; Credit Risk</b:BIBTEX_KeyWords>
    <b:RefOrder>13</b:RefOrder>
  </b:Source>
  <b:Source>
    <b:SourceType>JournalArticle</b:SourceType>
    <b:Tag>TomzWright2007</b:Tag>
    <b:Title>Do countries default in "bad times"?</b:Title>
    <b:Year>2007</b:Year>
    <b:Author>
      <b:Author>
        <b:NameList>
          <b:Person>
            <b:Last>Tomz</b:Last>
            <b:First>Michael</b:First>
          </b:Person>
          <b:Person>
            <b:Last>Wright</b:Last>
            <b:Middle>L. J.</b:Middle>
            <b:First>Mark</b:First>
          </b:Person>
        </b:NameList>
      </b:Author>
    </b:Author>
    <b:Pages>352-360</b:Pages>
    <b:Volume>5</b:Volume>
    <b:JournalName>Journal of the European Economic Association</b:JournalName>
    <b:Issue>2-3</b:Issue>
    <b:URL>http://ideas.repec.org/a/tpr/jeurec/v5y2007i2-3p352-360.html</b:URL>
    <b:RefOrder>14</b:RefOrder>
  </b:Source>
  <b:Source>
    <b:SourceType>JournalArticle</b:SourceType>
    <b:Tag>Thornton2009</b:Tag>
    <b:Title>What the Libor-OIS spread says</b:Title>
    <b:Year>2009</b:Year>
    <b:Author>
      <b:Author>
        <b:NameList>
          <b:Person>
            <b:Last>Thornton</b:Last>
            <b:Middle>L.</b:Middle>
            <b:First>Daniel</b:First>
          </b:Person>
        </b:NameList>
      </b:Author>
    </b:Author>
    <b:JournalName>Economic Synopses</b:JournalName>
    <b:Issue>24</b:Issue>
    <b:URL>http://ideas.repec.org/a/fip/fedles/y2009n24.html</b:URL>
    <b:BIBTEX_Abstract>Libor-OIS remains a barometer of fears of bank insolvency.</b:BIBTEX_Abstract>
    <b:BIBTEX_KeyWords>Money market ; Federal funds rate ; Bank loans</b:BIBTEX_KeyWords>
    <b:RefOrder>15</b:RefOrder>
  </b:Source>
  <b:Source>
    <b:SourceType>JournalArticle</b:SourceType>
    <b:Tag>TayTingTseWarachka2009</b:Tag>
    <b:Title>Using High-Frequency Transaction Data to Estimate the Probability of Informed Trading</b:Title>
    <b:Year>2009</b:Year>
    <b:Author>
      <b:Author>
        <b:NameList>
          <b:Person>
            <b:Last>Tay</b:Last>
            <b:First>Anthony</b:First>
          </b:Person>
          <b:Person>
            <b:Last>Ting</b:Last>
            <b:First>Christopher</b:First>
          </b:Person>
          <b:Person>
            <b:Last>Tse</b:Last>
            <b:Middle>Kuen</b:Middle>
            <b:First>Yiu</b:First>
          </b:Person>
          <b:Person>
            <b:Last>Warachka</b:Last>
            <b:First>Mitch</b:First>
          </b:Person>
        </b:NameList>
      </b:Author>
    </b:Author>
    <b:Pages>288-311</b:Pages>
    <b:Volume>7</b:Volume>
    <b:JournalName>Journal of Financial Econometrics</b:JournalName>
    <b:Issue>3</b:Issue>
    <b:URL>http://ideas.repec.org/a/oup/jfinec/v7y2009i3p288-311.html</b:URL>
    <b:RefOrder>16</b:RefOrder>
  </b:Source>
  <b:Source>
    <b:SourceType>Report</b:SourceType>
    <b:BIBTEX_Entry>unpublished</b:BIBTEX_Entry>
    <b:Tag>TangYan2007</b:Tag>
    <b:Title>Liquidity and credit default swap spreads</b:Title>
    <b:Year>2007</b:Year>
    <b:Comments>Working paper</b:Comments>
    <b:Author>
      <b:Author>
        <b:NameList>
          <b:Person>
            <b:Last>Tang</b:Last>
            <b:Middle>Yongjun</b:Middle>
            <b:First>Dragon</b:First>
          </b:Person>
          <b:Person>
            <b:Last>Yan</b:Last>
            <b:First>Hong</b:First>
          </b:Person>
        </b:NameList>
      </b:Author>
    </b:Author>
    <b:ThesisType>unpublished</b:ThesisType>
    <b:URL>http://papers.ssrn.com/sol3/papers.cfm?abstract_id=891263</b:URL>
    <b:RefOrder>17</b:RefOrder>
  </b:Source>
  <b:Source>
    <b:SourceType>Report</b:SourceType>
    <b:BIBTEX_Entry>techreport</b:BIBTEX_Entry>
    <b:Tag>SgherriZoli2009</b:Tag>
    <b:Title>Euro-area sovereign risk during the crisis</b:Title>
    <b:Year>2009</b:Year>
    <b:Author>
      <b:Author>
        <b:NameList>
          <b:Person>
            <b:Last>Sgherri</b:Last>
            <b:First>Silvia</b:First>
          </b:Person>
          <b:Person>
            <b:Last>Zoli</b:Last>
            <b:First>Edda</b:First>
          </b:Person>
        </b:NameList>
      </b:Author>
    </b:Author>
    <b:Issue>09/222</b:Issue>
    <b:Institution>International Monetary Fund</b:Institution>
    <b:ThesisType>IMF Working Papers</b:ThesisType>
    <b:URL>http://ideas.repec.org/p/imf/imfwpa/09-222.html</b:URL>
    <b:BIBTEX_KeyWords>Bond markets ; Capital markets ; European Union ; External debt ; Financial crisis ; Financial secto</b:BIBTEX_KeyWords>
    <b:RefOrder>18</b:RefOrder>
  </b:Source>
  <b:Source>
    <b:SourceType>JournalArticle</b:SourceType>
    <b:Tag>SenguptaTam2008</b:Tag>
    <b:Title>The LIBOR-OIS spread as a summary indicator</b:Title>
    <b:Year>2008</b:Year>
    <b:Author>
      <b:Author>
        <b:NameList>
          <b:Person>
            <b:Last>Sengupta</b:Last>
            <b:First>Rajdeep</b:First>
          </b:Person>
          <b:Person>
            <b:Last>Tam</b:Last>
            <b:Middle>Man</b:Middle>
            <b:First>Yu</b:First>
          </b:Person>
        </b:NameList>
      </b:Author>
    </b:Author>
    <b:JournalName>Monetary Trends</b:JournalName>
    <b:Issue>25</b:Issue>
    <b:URL>http://ideas.repec.org/a/fip/fedlmt/y2008inov.html</b:URL>
    <b:BIBTEX_KeyWords>Money market</b:BIBTEX_KeyWords>
    <b:RefOrder>19</b:RefOrder>
  </b:Source>
  <b:Source>
    <b:SourceType>Report</b:SourceType>
    <b:BIBTEX_Entry>unpublished</b:BIBTEX_Entry>
    <b:Tag>Schwarz2010</b:Tag>
    <b:Title>Mind the gap: Disentangling credit and liquidity in risk spreads</b:Title>
    <b:Year>2010</b:Year>
    <b:Comments>Working paper</b:Comments>
    <b:Author>
      <b:Author>
        <b:NameList>
          <b:Person>
            <b:Last>Schwarz</b:Last>
            <b:First>Krista</b:First>
          </b:Person>
        </b:NameList>
      </b:Author>
    </b:Author>
    <b:ThesisType>unpublished</b:ThesisType>
    <b:URL>http://papers.ssrn.com/sol3/papers.cfm?abstract_id=1486240</b:URL>
    <b:RefOrder>20</b:RefOrder>
  </b:Source>
  <b:Source>
    <b:SourceType>JournalArticle</b:SourceType>
    <b:Tag>SchuknechtHagenWolswijk2011</b:Tag>
    <b:Title>Government bond risk premiums in the EU revisited: The impact of the financial crisis</b:Title>
    <b:Year>2011</b:Year>
    <b:Author>
      <b:Author>
        <b:NameList>
          <b:Person>
            <b:Last>Schuknecht</b:Last>
            <b:First>Ludger</b:First>
          </b:Person>
          <b:Person>
            <b:Last>von Hagen</b:Last>
            <b:First>Jürgen</b:First>
          </b:Person>
          <b:Person>
            <b:Last>Wolswijk</b:Last>
            <b:First>Guido</b:First>
          </b:Person>
        </b:NameList>
      </b:Author>
    </b:Author>
    <b:Pages>36-43</b:Pages>
    <b:Volume>27</b:Volume>
    <b:JournalName>European Journal of Political Economy</b:JournalName>
    <b:Issue>1</b:Issue>
    <b:URL>http://ideas.repec.org/a/eee/poleco/v27y2011i1p36-43.html</b:URL>
    <b:BIBTEX_KeyWords> Sovereign risk premiums Bond markets Financial crisis</b:BIBTEX_KeyWords>
    <b:RefOrder>21</b:RefOrder>
  </b:Source>
  <b:Source>
    <b:SourceType>JournalArticle</b:SourceType>
    <b:Tag>Roll1984</b:Tag>
    <b:Title>A simple implicit measure of the effective bid-ask spread in an efficient market</b:Title>
    <b:Year>1984</b:Year>
    <b:Author>
      <b:Author>
        <b:NameList>
          <b:Person>
            <b:Last>Roll</b:Last>
            <b:First>Richard</b:First>
          </b:Person>
        </b:NameList>
      </b:Author>
    </b:Author>
    <b:Pages>1127-39</b:Pages>
    <b:Volume>39</b:Volume>
    <b:JournalName>Journal of Finance</b:JournalName>
    <b:Issue>4</b:Issue>
    <b:URL>http://ideas.repec.org/a/bla/jfinan/v39y1984i4p1127-39.html</b:URL>
    <b:RefOrder>22</b:RefOrder>
  </b:Source>
  <b:Source>
    <b:SourceType>JournalArticle</b:SourceType>
    <b:Tag>RemolonaScatignaWu2008b</b:Tag>
    <b:Title>The dynamic pricing of sovereign risk in emerging markets: Fundamentals and risk aversion</b:Title>
    <b:Year>2008</b:Year>
    <b:Author>
      <b:Author>
        <b:NameList>
          <b:Person>
            <b:Last>Remolona</b:Last>
            <b:Middle>M.</b:Middle>
            <b:First>Eli</b:First>
          </b:Person>
          <b:Person>
            <b:Last>Scatigna</b:Last>
            <b:First>Michela</b:First>
          </b:Person>
          <b:Person>
            <b:Last>Wu</b:Last>
            <b:First>Eliza</b:First>
          </b:Person>
        </b:NameList>
      </b:Author>
    </b:Author>
    <b:Pages>57-71</b:Pages>
    <b:Volume>17</b:Volume>
    <b:JournalName>Journal of Fixed Income</b:JournalName>
    <b:Issue>4</b:Issue>
    <b:URL>http://www.iijournals.com/doi/abs/10.3905/jfi.2008.705542</b:URL>
    <b:RefOrder>23</b:RefOrder>
  </b:Source>
  <b:Source>
    <b:SourceType>JournalArticle</b:SourceType>
    <b:Tag>RemolonaScatignaWu2008a</b:Tag>
    <b:Title>A ratings-based approach to measuring sovereign risk</b:Title>
    <b:Year>2008</b:Year>
    <b:Author>
      <b:Author>
        <b:NameList>
          <b:Person>
            <b:Last>Remolona</b:Last>
            <b:Middle>M.</b:Middle>
            <b:First>Eli</b:First>
          </b:Person>
          <b:Person>
            <b:Last>Scatigna</b:Last>
            <b:First>Michela</b:First>
          </b:Person>
          <b:Person>
            <b:Last>Wu</b:Last>
            <b:First>Eliza</b:First>
          </b:Person>
        </b:NameList>
      </b:Author>
    </b:Author>
    <b:Pages>26-39</b:Pages>
    <b:Volume>13</b:Volume>
    <b:JournalName>International Journal of Finance \&amp; Economics</b:JournalName>
    <b:Issue>1</b:Issue>
    <b:URL>http://ideas.repec.org/a/ijf/ijfiec/v13y2008i1p26-39.html</b:URL>
    <b:RefOrder>24</b:RefOrder>
  </b:Source>
  <b:Source>
    <b:SourceType>Report</b:SourceType>
    <b:BIBTEX_Entry>techreport</b:BIBTEX_Entry>
    <b:Tag>Reinhart2010</b:Tag>
    <b:Title>This Time is Different Chartbook: Country Histories on Debt, Default, and Financial Crises</b:Title>
    <b:Year>2010</b:Year>
    <b:Author>
      <b:Author>
        <b:NameList>
          <b:Person>
            <b:Last>Reinhart</b:Last>
            <b:Middle>M.</b:Middle>
            <b:First>Carmen</b:First>
          </b:Person>
        </b:NameList>
      </b:Author>
    </b:Author>
    <b:Issue>15815</b:Issue>
    <b:Institution>National Bureau of Economic Research, Inc</b:Institution>
    <b:ThesisType>NBER Working Papers</b:ThesisType>
    <b:URL>http://ideas.repec.org/p/nbr/nberwo/15815.html</b:URL>
    <b:RefOrder>25</b:RefOrder>
  </b:Source>
  <b:Source>
    <b:SourceType>JournalArticle</b:SourceType>
    <b:Tag>ReinhartRogoff2011</b:Tag>
    <b:Title>From financial crash to debt crisis</b:Title>
    <b:Year>2011</b:Year>
    <b:Author>
      <b:Author>
        <b:NameList>
          <b:Person>
            <b:Last>Reinhart</b:Last>
            <b:Middle>M.</b:Middle>
            <b:First>Carmen</b:First>
          </b:Person>
          <b:Person>
            <b:Last>Rogoff</b:Last>
            <b:Middle>S.</b:Middle>
            <b:First>Kenneth</b:First>
          </b:Person>
        </b:NameList>
      </b:Author>
    </b:Author>
    <b:Pages>1676-1706</b:Pages>
    <b:Volume>101</b:Volume>
    <b:JournalName>American Economic Review</b:JournalName>
    <b:Issue>5</b:Issue>
    <b:URL>http://ideas.repec.org/a/aea/aecrev/v101y2011i5p1676-1706.html</b:URL>
    <b:RefOrder>26</b:RefOrder>
  </b:Source>
  <b:Source>
    <b:SourceType>JournalArticle</b:SourceType>
    <b:Tag>RePEc:oup:rfinst:v:22:y:2009:i:1:p:435-480</b:Tag>
    <b:Title>Estimating Standard Errors in Finance Panel Data Sets: Comparing Approaches</b:Title>
    <b:Year>2008</b:Year>
    <b:Author>
      <b:Author>
        <b:NameList>
          <b:Person>
            <b:Last>Petersen</b:Last>
            <b:Middle>A.</b:Middle>
            <b:First>Mitchell</b:First>
          </b:Person>
        </b:NameList>
      </b:Author>
    </b:Author>
    <b:Pages>435-480</b:Pages>
    <b:Volume>22</b:Volume>
    <b:JournalName>Review of Financial Studies</b:JournalName>
    <b:Issue>1</b:Issue>
    <b:URL>http://ideas.repec.org/a/oup/rfinst/v22y2009i1p435-480.html</b:URL>
    <b:RefOrder>27</b:RefOrder>
  </b:Source>
  <b:Source>
    <b:SourceType>Report</b:SourceType>
    <b:BIBTEX_Entry>techreport</b:BIBTEX_Entry>
    <b:Tag>PeterGrandes2005</b:Tag>
    <b:Title>How important Is sovereign risk in determining corporate default premia? The case of South Africa</b:Title>
    <b:Year>2005</b:Year>
    <b:Author>
      <b:Author>
        <b:NameList>
          <b:Person>
            <b:Last>Peter</b:Last>
            <b:First>Marcel</b:First>
          </b:Person>
          <b:Person>
            <b:Last>Grandes</b:Last>
            <b:First>MartÃ­n</b:First>
          </b:Person>
        </b:NameList>
      </b:Author>
    </b:Author>
    <b:Issue>05/217</b:Issue>
    <b:Institution>International Monetary Fund</b:Institution>
    <b:ThesisType>IMF Working Papers</b:ThesisType>
    <b:URL>http://ideas.repec.org/p/imf/imfwpa/05-217.html</b:URL>
    <b:RefOrder>28</b:RefOrder>
  </b:Source>
  <b:Source>
    <b:SourceType>Report</b:SourceType>
    <b:BIBTEX_Entry>techreport</b:BIBTEX_Entry>
    <b:Tag>PerlinDufourBrooks2010b</b:Tag>
    <b:Title>The drivers of cross market arbitrage opportunities: Theory and evidence for the European bond market</b:Title>
    <b:Year>2010</b:Year>
    <b:Author>
      <b:Author>
        <b:NameList>
          <b:Person>
            <b:Last>Perlin</b:Last>
            <b:First>Marcelo</b:First>
          </b:Person>
          <b:Person>
            <b:Last>Dufour</b:Last>
            <b:First>Alfonso</b:First>
          </b:Person>
          <b:Person>
            <b:Last>Brooks</b:Last>
            <b:First>Chris</b:First>
          </b:Person>
        </b:NameList>
      </b:Author>
    </b:Author>
    <b:Issue>23381</b:Issue>
    <b:Institution>University Library of Munich, Germany</b:Institution>
    <b:ThesisType>MPRA Paper</b:ThesisType>
    <b:URL>http://ideas.repec.org/p/pra/mprapa/23381.html</b:URL>
    <b:BIBTEX_KeyWords>arbitrage opportunities; negative spreads; market microstructure; market efficiency</b:BIBTEX_KeyWords>
    <b:RefOrder>29</b:RefOrder>
  </b:Source>
  <b:Source>
    <b:SourceType>Report</b:SourceType>
    <b:BIBTEX_Entry>techreport</b:BIBTEX_Entry>
    <b:Tag>PerlinDufourBrooks2010a</b:Tag>
    <b:Title>A microstructure model for spillover effects in price discovery: A study for the european bond market</b:Title>
    <b:Year>2010</b:Year>
    <b:Author>
      <b:Author>
        <b:NameList>
          <b:Person>
            <b:Last>Perlin</b:Last>
            <b:First>Marcelo</b:First>
          </b:Person>
          <b:Person>
            <b:Last>Dufour</b:Last>
            <b:First>Alfonso</b:First>
          </b:Person>
          <b:Person>
            <b:Last>Brooks</b:Last>
            <b:First>Chris</b:First>
          </b:Person>
        </b:NameList>
      </b:Author>
    </b:Author>
    <b:Issue>23380</b:Issue>
    <b:Institution>University Library of Munich, Germany</b:Institution>
    <b:ThesisType>MPRA Paper</b:ThesisType>
    <b:URL>http://ideas.repec.org/p/pra/mprapa/23380.html</b:URL>
    <b:BIBTEX_KeyWords>market microstructure; spillover effect; commonalities; liquidity; price impact of a trade.</b:BIBTEX_KeyWords>
    <b:RefOrder>30</b:RefOrder>
  </b:Source>
  <b:Source>
    <b:SourceType>JournalArticle</b:SourceType>
    <b:Tag>PastorStambaugh2003</b:Tag>
    <b:Title>Liquidity risk and expected stock returns</b:Title>
    <b:Year>2003</b:Year>
    <b:Author>
      <b:Author>
        <b:NameList>
          <b:Person>
            <b:Last>Pastor</b:Last>
            <b:First>Lubos</b:First>
          </b:Person>
          <b:Person>
            <b:Last>Stambaugh</b:Last>
            <b:Middle>F.</b:Middle>
            <b:First>Robert</b:First>
          </b:Person>
        </b:NameList>
      </b:Author>
    </b:Author>
    <b:Pages>642-685</b:Pages>
    <b:Volume>111</b:Volume>
    <b:JournalName>Journal of Political Economy</b:JournalName>
    <b:Issue>3</b:Issue>
    <b:URL>http://ideas.repec.org/a/ucp/jpolec/v111y2003i3p642-685.html</b:URL>
    <b:RefOrder>31</b:RefOrder>
  </b:Source>
  <b:Source>
    <b:SourceType>JournalArticle</b:SourceType>
    <b:Tag>PasquarielloVega2009</b:Tag>
    <b:Title>The on-the-run liquidity phenomenon</b:Title>
    <b:Year>2009</b:Year>
    <b:Author>
      <b:Author>
        <b:NameList>
          <b:Person>
            <b:Last>Pasquariello</b:Last>
            <b:First>Paolo</b:First>
          </b:Person>
          <b:Person>
            <b:Last>Vega</b:Last>
            <b:First>Clara</b:First>
          </b:Person>
        </b:NameList>
      </b:Author>
    </b:Author>
    <b:Pages>1-24</b:Pages>
    <b:Volume>92</b:Volume>
    <b:JournalName>Journal of Financial Economics</b:JournalName>
    <b:Issue>1</b:Issue>
    <b:URL>http://ideas.repec.org/a/eee/jfinec/v92y2009i1p1-24.html</b:URL>
    <b:BIBTEX_KeyWords> Treasury bond markets Liquidity On-the-run bonds Off-the-run bonds Macroeconomic news announcements</b:BIBTEX_KeyWords>
    <b:RefOrder>32</b:RefOrder>
  </b:Source>
  <b:Source>
    <b:SourceType>JournalArticle</b:SourceType>
    <b:Tag>ParkEom2008</b:Tag>
    <b:Title>The Usefulness of PIN as a Measurement for Private-Information Risk in Korean Stock Markets</b:Title>
    <b:Year>2008</b:Year>
    <b:Author>
      <b:Author>
        <b:NameList>
          <b:Person>
            <b:Last>Park</b:Last>
            <b:First>Jong-Ho</b:First>
          </b:Person>
          <b:Person>
            <b:Last>Eom</b:Last>
            <b:Middle>Shik</b:Middle>
            <b:First>Kyong</b:First>
          </b:Person>
        </b:NameList>
      </b:Author>
    </b:Author>
    <b:Pages>501-536</b:Pages>
    <b:Volume>37</b:Volume>
    <b:JournalName>Asia-Pacific Journal of Financial Studies</b:JournalName>
    <b:Issue>3</b:Issue>
    <b:URL>http://apjfs.org/data/articles/144.pdf</b:URL>
    <b:RefOrder>33</b:RefOrder>
  </b:Source>
  <b:Source>
    <b:SourceType>JournalArticle</b:SourceType>
    <b:Tag>PanSingleton2008</b:Tag>
    <b:Title>Default and Recovery implicit in the term structure of sovereign CDS spreads</b:Title>
    <b:Year>2008</b:Year>
    <b:Author>
      <b:Author>
        <b:NameList>
          <b:Person>
            <b:Last>Pan</b:Last>
            <b:First>Jun</b:First>
          </b:Person>
          <b:Person>
            <b:Last>Singleton</b:Last>
            <b:Middle>J.</b:Middle>
            <b:First>Kenneth</b:First>
          </b:Person>
        </b:NameList>
      </b:Author>
    </b:Author>
    <b:Pages>2345-2384</b:Pages>
    <b:Volume>63</b:Volume>
    <b:JournalName>Journal of Finance</b:JournalName>
    <b:Issue>5</b:Issue>
    <b:URL>http://ideas.repec.org/a/bla/jfinan/v63y2008i5p2345-2384.html</b:URL>
    <b:RefOrder>34</b:RefOrder>
  </b:Source>
  <b:Source>
    <b:SourceType>JournalArticle</b:SourceType>
    <b:Tag>NordenWeber2004</b:Tag>
    <b:Title>Informational efficiency of credit default swap and stock markets: The impact of credit rating announcements</b:Title>
    <b:Year>2004</b:Year>
    <b:Author>
      <b:Author>
        <b:NameList>
          <b:Person>
            <b:Last>Norden</b:Last>
            <b:First>Lars</b:First>
          </b:Person>
          <b:Person>
            <b:Last>Weber</b:Last>
            <b:First>Martin</b:First>
          </b:Person>
        </b:NameList>
      </b:Author>
    </b:Author>
    <b:Pages>2813-2843</b:Pages>
    <b:Volume>28</b:Volume>
    <b:JournalName>Journal of Banking \&amp; Finance</b:JournalName>
    <b:Issue>11</b:Issue>
    <b:URL>http://ideas.repec.org/a/eee/jbfina/v28y2004i11p2813-2843.html</b:URL>
    <b:RefOrder>35</b:RefOrder>
  </b:Source>
  <b:Source>
    <b:SourceType>JournalArticle</b:SourceType>
    <b:Tag>NippaniSmith2010</b:Tag>
    <b:Title>The increasing default risk of US Treasury securities due to the financial crisis</b:Title>
    <b:Year>2010</b:Year>
    <b:Author>
      <b:Author>
        <b:NameList>
          <b:Person>
            <b:Last>Nippani</b:Last>
            <b:First>Srinivas</b:First>
          </b:Person>
          <b:Person>
            <b:Last>Smith</b:Last>
            <b:Middle>D.</b:Middle>
            <b:First>Stanley</b:First>
          </b:Person>
        </b:NameList>
      </b:Author>
    </b:Author>
    <b:Pages>2472-2480</b:Pages>
    <b:Volume>34</b:Volume>
    <b:JournalName>Journal of Banking \&amp; Finance</b:JournalName>
    <b:Issue>10</b:Issue>
    <b:URL>http://ideas.repec.org/a/eee/jbfina/v34y2010i10p2472-2480.html</b:URL>
    <b:BIBTEX_KeyWords> Financial crises Treasury securities Bond default risk Risk-free interest rate US debt limit US def</b:BIBTEX_KeyWords>
    <b:RefOrder>36</b:RefOrder>
  </b:Source>
  <b:Source>
    <b:SourceType>JournalArticle</b:SourceType>
    <b:Tag>NippaniLiuSchulman2001</b:Tag>
    <b:Title>Are Treasury securities free of default?</b:Title>
    <b:Year>2001</b:Year>
    <b:Author>
      <b:Author>
        <b:NameList>
          <b:Person>
            <b:Last>Nippani</b:Last>
            <b:First>Srinivas</b:First>
          </b:Person>
          <b:Person>
            <b:Last>Liu</b:Last>
            <b:First>Pu</b:First>
          </b:Person>
          <b:Person>
            <b:Last>Schulman</b:Last>
            <b:Middle>T.</b:Middle>
            <b:First>Craig</b:First>
          </b:Person>
        </b:NameList>
      </b:Author>
    </b:Author>
    <b:Pages>251-265</b:Pages>
    <b:Volume>36</b:Volume>
    <b:JournalName>Journal of Financial and Quantitative Analysis</b:JournalName>
    <b:Issue>02</b:Issue>
    <b:URL>http://ideas.repec.org/a/cup/jfinqa/v36y2001i02p251-265_00.html</b:URL>
    <b:RefOrder>37</b:RefOrder>
  </b:Source>
  <b:Source>
    <b:SourceType>JournalArticle</b:SourceType>
    <b:Tag>NickellPerraudinVarotto2000</b:Tag>
    <b:Title>Stability of rating transitions</b:Title>
    <b:Year>2000</b:Year>
    <b:Author>
      <b:Author>
        <b:NameList>
          <b:Person>
            <b:Last>Nickell</b:Last>
            <b:First>Pamela</b:First>
          </b:Person>
          <b:Person>
            <b:Last>Perraudin</b:Last>
            <b:First>William</b:First>
          </b:Person>
          <b:Person>
            <b:Last>Varotto</b:Last>
            <b:First>Simone</b:First>
          </b:Person>
        </b:NameList>
      </b:Author>
    </b:Author>
    <b:Pages>203-227</b:Pages>
    <b:Volume>24</b:Volume>
    <b:JournalName>Journal of Banking \&amp; Finance</b:JournalName>
    <b:Issue>1-2</b:Issue>
    <b:URL>http://ideas.repec.org/a/eee/jbfina/v24y2000i1-2p203-227.html</b:URL>
    <b:RefOrder>38</b:RefOrder>
  </b:Source>
  <b:Source>
    <b:SourceType>JournalArticle</b:SourceType>
    <b:Tag>NickellPerraudinVarotto2007</b:Tag>
    <b:Title>Ratings-based credit risk modelling: An empirical analysis</b:Title>
    <b:Year>2007</b:Year>
    <b:Author>
      <b:Author>
        <b:NameList>
          <b:Person>
            <b:Last>Nickell</b:Last>
            <b:First>Pamela</b:First>
          </b:Person>
          <b:Person>
            <b:Last>Perraudin</b:Last>
            <b:First>William</b:First>
          </b:Person>
          <b:Person>
            <b:Last>Varotto</b:Last>
            <b:First>Simone</b:First>
          </b:Person>
        </b:NameList>
      </b:Author>
    </b:Author>
    <b:Pages>434-451</b:Pages>
    <b:Volume>16</b:Volume>
    <b:StandardNumber> ISSN: 1057-5219 DOI: 10.1016/j.irfa.2007.06.003</b:StandardNumber>
    <b:JournalName>International Review of Financial Analysis</b:JournalName>
    <b:Issue>5</b:Issue>
    <b:URL>http://www.sciencedirect.com/science/article/pii/S1057521907000403</b:URL>
    <b:BIBTEX_KeyWords>Credit risk models</b:BIBTEX_KeyWords>
    <b:RefOrder>39</b:RefOrder>
  </b:Source>
  <b:Source>
    <b:SourceType>Report</b:SourceType>
    <b:BIBTEX_Entry>unpublished</b:BIBTEX_Entry>
    <b:Tag>NguyenDufour2011</b:Tag>
    <b:Title>Permanent trading impacts and bond yields</b:Title>
    <b:Year>2011</b:Year>
    <b:Comments>Working paper</b:Comments>
    <b:Author>
      <b:Author>
        <b:NameList>
          <b:Person>
            <b:Last>Nguyen</b:Last>
            <b:First>Minh</b:First>
          </b:Person>
          <b:Person>
            <b:Last>Dufour</b:Last>
            <b:First>Alfonso</b:First>
          </b:Person>
        </b:NameList>
      </b:Author>
    </b:Author>
    <b:ThesisType>unpublished</b:ThesisType>
    <b:URL>http://papers.ssrn.com/sol3/papers.cfm?abstract_id=1427087</b:URL>
    <b:RefOrder>40</b:RefOrder>
  </b:Source>
  <b:Source>
    <b:SourceType>JournalArticle</b:SourceType>
    <b:Tag>NaesSkjeltorpOdegaard2011</b:Tag>
    <b:Title>Stock market liquidity and the business cycle</b:Title>
    <b:Year>2011</b:Year>
    <b:Author>
      <b:Author>
        <b:NameList>
          <b:Person>
            <b:Last>Næs</b:Last>
            <b:First>Randi</b:First>
          </b:Person>
          <b:Person>
            <b:Last>Skjeltorp</b:Last>
            <b:Middle>A.</b:Middle>
            <b:First>Johannes</b:First>
          </b:Person>
          <b:Person>
            <b:Last>Ødegaard</b:Last>
            <b:Middle>Arne</b:Middle>
            <b:First>Bernt</b:First>
          </b:Person>
        </b:NameList>
      </b:Author>
    </b:Author>
    <b:Pages>139-176</b:Pages>
    <b:Volume>66</b:Volume>
    <b:JournalName>Journal of Finance</b:JournalName>
    <b:Issue>1</b:Issue>
    <b:URL>http://ideas.repec.org/a/bla/jfinan/v66y2011i1p139-176.html</b:URL>
    <b:RefOrder>41</b:RefOrder>
  </b:Source>
  <b:Source>
    <b:SourceType>JournalArticle</b:SourceType>
    <b:Tag>MohanramRajgopal2009</b:Tag>
    <b:Title>Is PIN priced risk?</b:Title>
    <b:Year>2009</b:Year>
    <b:Author>
      <b:Author>
        <b:NameList>
          <b:Person>
            <b:Last>Mohanram</b:Last>
            <b:First>Partha</b:First>
          </b:Person>
          <b:Person>
            <b:Last>Rajgopal</b:Last>
            <b:First>Shiva</b:First>
          </b:Person>
        </b:NameList>
      </b:Author>
    </b:Author>
    <b:Pages>226-243</b:Pages>
    <b:Volume>47</b:Volume>
    <b:JournalName>Journal of Accounting and Economics</b:JournalName>
    <b:Issue>3</b:Issue>
    <b:URL>http://ideas.repec.org/a/eee/jaecon/v47y2009i3p226-243.html</b:URL>
    <b:BIBTEX_KeyWords> Information risk PIN Risk</b:BIBTEX_KeyWords>
    <b:RefOrder>42</b:RefOrder>
  </b:Source>
  <b:Source>
    <b:SourceType>Report</b:SourceType>
    <b:BIBTEX_Entry>techreport</b:BIBTEX_Entry>
    <b:Tag>Mody2009</b:Tag>
    <b:Title>From Bear Stearns to Anglo Irish: How Eurozone sovereign spreads related to financial sector vulnerability</b:Title>
    <b:Year>2009</b:Year>
    <b:Author>
      <b:Author>
        <b:NameList>
          <b:Person>
            <b:Last>Mody</b:Last>
            <b:First>Ashoka</b:First>
          </b:Person>
        </b:NameList>
      </b:Author>
    </b:Author>
    <b:Issue>09/108</b:Issue>
    <b:Institution>International Monetary Fund</b:Institution>
    <b:ThesisType>IMF Working Papers</b:ThesisType>
    <b:URL>http://ideas.repec.org/p/imf/imfwpa/09-108.html</b:URL>
    <b:BIBTEX_KeyWords>Banking crisis ; Bonds ; Credit risk ; Cross country analysis ; European Union ; Financial risk ; Fi</b:BIBTEX_KeyWords>
    <b:RefOrder>43</b:RefOrder>
  </b:Source>
  <b:Source>
    <b:SourceType>JournalArticle</b:SourceType>
    <b:Tag>CornettTehranian1990</b:Tag>
    <b:Title>An examination of the impact of the Garn-St. Germain Depository Institutions Act of 1982 on commercial banks and savings and loans</b:Title>
    <b:Year>1990</b:Year>
    <b:Author>
      <b:Author>
        <b:NameList>
          <b:Person>
            <b:Last>Millon-Cornett</b:Last>
            <b:Middle>H</b:Middle>
            <b:First>Marcia</b:First>
          </b:Person>
          <b:Person>
            <b:Last>Tehranian</b:Last>
            <b:First>Hassan</b:First>
          </b:Person>
        </b:NameList>
      </b:Author>
    </b:Author>
    <b:Pages>95-111</b:Pages>
    <b:Volume>45</b:Volume>
    <b:JournalName>Journal of Finance</b:JournalName>
    <b:Issue>1</b:Issue>
    <b:URL>http://EconPapers.repec.org/RePEc:bla:jfinan:v:45:y:1990:i:1:p:95-111</b:URL>
    <b:RefOrder>44</b:RefOrder>
  </b:Source>
  <b:Source>
    <b:SourceType>JournalArticle</b:SourceType>
    <b:Tag>MicuRemolonaWooldridge2004</b:Tag>
    <b:Title>The price impact of rating announcements: Evidence from the credit default swap market</b:Title>
    <b:Year>2004</b:Year>
    <b:Author>
      <b:Author>
        <b:NameList>
          <b:Person>
            <b:Last>Micu</b:Last>
            <b:First>Marian</b:First>
          </b:Person>
          <b:Person>
            <b:Last>Remolona</b:Last>
            <b:Middle>M</b:Middle>
            <b:First>Eli</b:First>
          </b:Person>
          <b:Person>
            <b:Last>Wooldridge</b:Last>
            <b:Middle>D</b:Middle>
            <b:First>Philip</b:First>
          </b:Person>
        </b:NameList>
      </b:Author>
    </b:Author>
    <b:Pages>55-65</b:Pages>
    <b:Volume>June</b:Volume>
    <b:JournalName>BIS Quarterly Review</b:JournalName>
    <b:URL>http://ideas.repec.org/a/bis/bisqtr/0406e.html</b:URL>
    <b:RefOrder>45</b:RefOrder>
  </b:Source>
  <b:Source>
    <b:SourceType>Report</b:SourceType>
    <b:BIBTEX_Entry>techreport</b:BIBTEX_Entry>
    <b:Tag>MenkveldCheungJong2004</b:Tag>
    <b:Title>Euro area sovereign yield dynamics - the role of order imbalance</b:Title>
    <b:Year>2004</b:Year>
    <b:Author>
      <b:Author>
        <b:NameList>
          <b:Person>
            <b:Last>Menkveld</b:Last>
            <b:Middle>J.</b:Middle>
            <b:First>Albert</b:First>
          </b:Person>
          <b:Person>
            <b:Last>Cheung</b:Last>
            <b:Middle>C.</b:Middle>
            <b:First>Yiu</b:First>
          </b:Person>
          <b:Person>
            <b:Last>de Jong</b:Last>
            <b:First>Frank</b:First>
          </b:Person>
        </b:NameList>
      </b:Author>
    </b:Author>
    <b:Issue>385</b:Issue>
    <b:Institution>European Central Bank</b:Institution>
    <b:ThesisType>Working Paper Series</b:ThesisType>
    <b:URL>http://ideas.repec.org/p/ecb/ecbwps/20040385.html</b:URL>
    <b:BIBTEX_KeyWords>Government bond; order imbalance; euro; international.</b:BIBTEX_KeyWords>
    <b:RefOrder>46</b:RefOrder>
  </b:Source>
  <b:Source>
    <b:SourceType>JournalArticle</b:SourceType>
    <b:Tag>McCauley2002</b:Tag>
    <b:Title>Panel: Implications of Declining Treasury Debt: International Market Implications of Declining Treasury Debt</b:Title>
    <b:Year>2002</b:Year>
    <b:Author>
      <b:Author>
        <b:NameList>
          <b:Person>
            <b:Last>McCauley</b:Last>
            <b:Middle>Neil</b:Middle>
            <b:First>Robert</b:First>
          </b:Person>
        </b:NameList>
      </b:Author>
    </b:Author>
    <b:Pages>952-966</b:Pages>
    <b:Volume>34</b:Volume>
    <b:JournalName>Journal of Money, Credit and Banking</b:JournalName>
    <b:Issue>3</b:Issue>
    <b:URL>http://ideas.repec.org/a/mcb/jmoncb/v34y2002i3p952-66.html</b:URL>
    <b:RefOrder>47</b:RefOrder>
  </b:Source>
  <b:Source>
    <b:SourceType>JournalArticle</b:SourceType>
    <b:Tag>Longstaff2004</b:Tag>
    <b:Title>The flight-to-liquidity premium in U.S. Treasury bond prices</b:Title>
    <b:Year>2004</b:Year>
    <b:Author>
      <b:Author>
        <b:NameList>
          <b:Person>
            <b:Last>Longstaff</b:Last>
            <b:Middle>A.</b:Middle>
            <b:First>Francis</b:First>
          </b:Person>
        </b:NameList>
      </b:Author>
    </b:Author>
    <b:Pages>511-526</b:Pages>
    <b:Volume>77</b:Volume>
    <b:JournalName>The Journal of Business</b:JournalName>
    <b:Issue>3</b:Issue>
    <b:URL>http://ideas.repec.org/a/ucp/jnlbus/v77y2004i3p511-526.html</b:URL>
    <b:RefOrder>48</b:RefOrder>
  </b:Source>
  <b:Source>
    <b:SourceType>JournalArticle</b:SourceType>
    <b:Tag>LongstaffPanPedersenSingleton2011</b:Tag>
    <b:Title>How sovereign is sovereign credit risk?</b:Title>
    <b:Year>2011</b:Year>
    <b:Author>
      <b:Author>
        <b:NameList>
          <b:Person>
            <b:Last>Longstaff</b:Last>
            <b:Middle>A.</b:Middle>
            <b:First>Francis</b:First>
          </b:Person>
          <b:Person>
            <b:Last>Pan</b:Last>
            <b:First>Jun</b:First>
          </b:Person>
          <b:Person>
            <b:Last>Pedersen</b:Last>
            <b:Middle>H.</b:Middle>
            <b:First>Lasse</b:First>
          </b:Person>
          <b:Person>
            <b:Last>Singleton</b:Last>
            <b:Middle>J.</b:Middle>
            <b:First>Kenneth</b:First>
          </b:Person>
        </b:NameList>
      </b:Author>
    </b:Author>
    <b:Pages>75-103</b:Pages>
    <b:Volume>3</b:Volume>
    <b:JournalName>American Economic Journal: Macroeconomics</b:JournalName>
    <b:Issue>2</b:Issue>
    <b:URL>http://ideas.repec.org/a/aea/aejmac/v3y2011i2p75-103.html</b:URL>
    <b:RefOrder>49</b:RefOrder>
  </b:Source>
  <b:Source>
    <b:SourceType>JournalArticle</b:SourceType>
    <b:Tag>LongstaffMithalNeis2005</b:Tag>
    <b:Title>Corporate yield spreads: Default risk or liquidity? New evidence from the credit default swap market</b:Title>
    <b:Year>2005</b:Year>
    <b:Author>
      <b:Author>
        <b:NameList>
          <b:Person>
            <b:Last>Longstaff</b:Last>
            <b:Middle>A.</b:Middle>
            <b:First>Francis</b:First>
          </b:Person>
          <b:Person>
            <b:Last>Mithal</b:Last>
            <b:First>Sanjay</b:First>
          </b:Person>
          <b:Person>
            <b:Last>Neis</b:Last>
            <b:First>Eric</b:First>
          </b:Person>
        </b:NameList>
      </b:Author>
    </b:Author>
    <b:Pages>2213-2253</b:Pages>
    <b:Volume>60</b:Volume>
    <b:JournalName>Journal of Finance</b:JournalName>
    <b:Issue>5</b:Issue>
    <b:URL>http://ideas.repec.org/a/bla/jfinan/v60y2005i5p2213-2253.html</b:URL>
    <b:RefOrder>50</b:RefOrder>
  </b:Source>
  <b:Source>
    <b:SourceType>JournalArticle</b:SourceType>
    <b:Tag>LiuShaoYeager2009</b:Tag>
    <b:Title>Did the repeated debt ceiling controversies embed default risk in US Treasury securities?</b:Title>
    <b:Year>2009</b:Year>
    <b:Author>
      <b:Author>
        <b:NameList>
          <b:Person>
            <b:Last>Liu</b:Last>
            <b:First>Pu</b:First>
          </b:Person>
          <b:Person>
            <b:Last>Shao</b:Last>
            <b:First>Yingying</b:First>
          </b:Person>
          <b:Person>
            <b:Last>Yeager</b:Last>
            <b:Middle>J.</b:Middle>
            <b:First>Timothy</b:First>
          </b:Person>
        </b:NameList>
      </b:Author>
    </b:Author>
    <b:Pages>1464-1471</b:Pages>
    <b:Volume>33</b:Volume>
    <b:JournalName>Journal of Banking \&amp; Finance</b:JournalName>
    <b:Issue>8</b:Issue>
    <b:URL>http://ideas.repec.org/a/eee/jbfina/v33y2009i8p1464-1471.html</b:URL>
    <b:BIBTEX_KeyWords> Default risk Treasury securities Treasury default Risk premium US debt limit Yield spread</b:BIBTEX_KeyWords>
    <b:RefOrder>51</b:RefOrder>
  </b:Source>
  <b:Source>
    <b:SourceType>JournalArticle</b:SourceType>
    <b:Tag>LiuLongstaffMandell2006</b:Tag>
    <b:Title>The market price of risk in interest rate swaps: The roles of default and liquidity risks</b:Title>
    <b:Year>2006</b:Year>
    <b:Author>
      <b:Author>
        <b:NameList>
          <b:Person>
            <b:Last>Liu</b:Last>
            <b:First>Jun</b:First>
          </b:Person>
          <b:Person>
            <b:Last>Longstaff</b:Last>
            <b:Middle>A.</b:Middle>
            <b:First>Francis</b:First>
          </b:Person>
          <b:Person>
            <b:Last>Mandell</b:Last>
            <b:Middle>E.</b:Middle>
            <b:First>Ravit</b:First>
          </b:Person>
        </b:NameList>
      </b:Author>
    </b:Author>
    <b:Pages>2337-2360</b:Pages>
    <b:Volume>79</b:Volume>
    <b:JournalName>The Journal of Business</b:JournalName>
    <b:Issue>5</b:Issue>
    <b:URL>http://ideas.repec.org/a/ucp/jnlbus/v79y2006i5p2337-2360.html</b:URL>
    <b:RefOrder>52</b:RefOrder>
  </b:Source>
  <b:Source>
    <b:SourceType>JournalArticle</b:SourceType>
    <b:Tag>LinWangWu2011</b:Tag>
    <b:Title>Liquidity risk and expected corporate bond returns</b:Title>
    <b:Year>2011</b:Year>
    <b:Author>
      <b:Author>
        <b:NameList>
          <b:Person>
            <b:Last>Lin</b:Last>
            <b:First>Hai</b:First>
          </b:Person>
          <b:Person>
            <b:Last>Wang</b:Last>
            <b:First>Junbo</b:First>
          </b:Person>
          <b:Person>
            <b:Last>Wu</b:Last>
            <b:First>Chunchi</b:First>
          </b:Person>
        </b:NameList>
      </b:Author>
    </b:Author>
    <b:Pages>628-650</b:Pages>
    <b:Volume>99</b:Volume>
    <b:JournalName>Journal of Financial Economics</b:JournalName>
    <b:Issue>3</b:Issue>
    <b:URL>http://ideas.repec.org/a/eee/jfinec/v99y2011i3p628-650.html</b:URL>
    <b:BIBTEX_KeyWords> Liquidity risk Default and term beta Bond pricing Flight-to-quality</b:BIBTEX_KeyWords>
    <b:RefOrder>53</b:RefOrder>
  </b:Source>
  <b:Source>
    <b:SourceType>JournalArticle</b:SourceType>
    <b:Tag>LiWangHe2009</b:Tag>
    <b:Title>Are liquidity and information risks priced in the Treasury bond market?</b:Title>
    <b:Year>2009</b:Year>
    <b:Author>
      <b:Author>
        <b:NameList>
          <b:Person>
            <b:Last>Li</b:Last>
            <b:First>Haitao</b:First>
          </b:Person>
          <b:Person>
            <b:Last>Wang</b:Last>
            <b:First>Junbo</b:First>
          </b:Person>
          <b:Person>
            <b:Last>Wu</b:Last>
            <b:First>Chunchi</b:First>
          </b:Person>
          <b:Person>
            <b:Last>He</b:Last>
            <b:First>Yan</b:First>
          </b:Person>
        </b:NameList>
      </b:Author>
    </b:Author>
    <b:Pages>467-503</b:Pages>
    <b:Volume>64</b:Volume>
    <b:JournalName>Journal of Finance</b:JournalName>
    <b:Issue>1</b:Issue>
    <b:URL>http://ideas.repec.org/a/bla/jfinan/v64y2009i1p467-503.html</b:URL>
    <b:RefOrder>54</b:RefOrder>
  </b:Source>
  <b:Source>
    <b:SourceType>JournalArticle</b:SourceType>
    <b:Tag>LesmondOgdenTrzcinka1991</b:Tag>
    <b:Title>A new estimate of transaction costs</b:Title>
    <b:Year>1999</b:Year>
    <b:Author>
      <b:Author>
        <b:NameList>
          <b:Person>
            <b:Last>Lesmond</b:Last>
            <b:Middle>A</b:Middle>
            <b:First>David</b:First>
          </b:Person>
          <b:Person>
            <b:Last>Ogden</b:Last>
            <b:Middle>P</b:Middle>
            <b:First>Joseph</b:First>
          </b:Person>
          <b:Person>
            <b:Last>Trzcinka</b:Last>
            <b:Middle>A</b:Middle>
            <b:First>Charles</b:First>
          </b:Person>
        </b:NameList>
      </b:Author>
    </b:Author>
    <b:Pages>1113-41</b:Pages>
    <b:Volume>12</b:Volume>
    <b:JournalName>Review of Financial Studies</b:JournalName>
    <b:Issue>5</b:Issue>
    <b:URL>http://ideas.repec.org/a/oup/rfinst/v12y1999i5p1113-41.html</b:URL>
    <b:RefOrder>55</b:RefOrder>
  </b:Source>
  <b:Source>
    <b:SourceType>JournalArticle</b:SourceType>
    <b:Tag>Lee2011</b:Tag>
    <b:Title>The world price of liquidity risk</b:Title>
    <b:Year>2011</b:Year>
    <b:Author>
      <b:Author>
        <b:NameList>
          <b:Person>
            <b:Last>Lee</b:Last>
            <b:First>Kuan-Hui</b:First>
          </b:Person>
        </b:NameList>
      </b:Author>
    </b:Author>
    <b:Pages>136-161</b:Pages>
    <b:Volume>99</b:Volume>
    <b:JournalName>Journal of Financial Economics</b:JournalName>
    <b:Issue>1</b:Issue>
    <b:URL>http://ideas.repec.org/a/eee/jfinec/v99y2011i1p136-161.html</b:URL>
    <b:BIBTEX_KeyWords> Asset pricing International finance Liquidity Liquidity risk Liquidity-adjusted capital asset prici</b:BIBTEX_KeyWords>
    <b:RefOrder>56</b:RefOrder>
  </b:Source>
  <b:Source>
    <b:SourceType>JournalArticle</b:SourceType>
    <b:Tag>LeeReady1991</b:Tag>
    <b:Title>Inferring trade direction from intraday data</b:Title>
    <b:Year>1991</b:Year>
    <b:Author>
      <b:Author>
        <b:NameList>
          <b:Person>
            <b:Last>Lee</b:Last>
            <b:Middle>M C</b:Middle>
            <b:First>Charles</b:First>
          </b:Person>
          <b:Person>
            <b:Last>Ready</b:Last>
            <b:Middle>J</b:Middle>
            <b:First>Mark</b:First>
          </b:Person>
        </b:NameList>
      </b:Author>
    </b:Author>
    <b:Pages>733-46</b:Pages>
    <b:Volume>46</b:Volume>
    <b:JournalName>Journal of Finance</b:JournalName>
    <b:Issue>2</b:Issue>
    <b:URL>http://ideas.repec.org/a/bla/jfinan/v46y1991i2p733-46.html</b:URL>
    <b:RefOrder>57</b:RefOrder>
  </b:Source>
  <b:Source>
    <b:SourceType>JournalArticle</b:SourceType>
    <b:Tag>Landschoot2008</b:Tag>
    <b:Title>Determinants of yield spread dynamics: Euro versus US dollar corporate bonds</b:Title>
    <b:Year>2008</b:Year>
    <b:Author>
      <b:Author>
        <b:NameList>
          <b:Person>
            <b:Last>Landschoot</b:Last>
            <b:Middle>Van</b:Middle>
            <b:First>Astrid</b:First>
          </b:Person>
        </b:NameList>
      </b:Author>
    </b:Author>
    <b:Pages>2597-2605</b:Pages>
    <b:Volume>32</b:Volume>
    <b:JournalName>Journal of Banking \&amp; Finance</b:JournalName>
    <b:Issue>12</b:Issue>
    <b:URL>http://ideas.repec.org/a/eee/jbfina/v32y2008i12p2597-2605.html</b:URL>
    <b:BIBTEX_KeyWords>Term structure of yield spreads Default risk Liquidity risk Credit cycle</b:BIBTEX_KeyWords>
    <b:RefOrder>58</b:RefOrder>
  </b:Source>
  <b:Source>
    <b:SourceType>JournalArticle</b:SourceType>
    <b:Tag>Krishnamurthy2009</b:Tag>
    <b:Title>Amplification mechanisms in liquidity crises</b:Title>
    <b:Year>2009</b:Year>
    <b:Author>
      <b:Author>
        <b:NameList>
          <b:Person>
            <b:Last>Krishnamurthy</b:Last>
            <b:First>Arvind</b:First>
          </b:Person>
        </b:NameList>
      </b:Author>
    </b:Author>
    <b:Pages>1-33</b:Pages>
    <b:Volume>2</b:Volume>
    <b:JournalName>American Economic Journal</b:JournalName>
    <b:Issue>2</b:Issue>
    <b:URL>http://www.kellogg.northwestern.edu/faculty/krisharvind/papers/liquidity-amplification.pdf</b:URL>
    <b:RefOrder>59</b:RefOrder>
  </b:Source>
  <b:Source>
    <b:SourceType>Report</b:SourceType>
    <b:BIBTEX_Entry>techreport</b:BIBTEX_Entry>
    <b:Tag>KramerSchinasiSmith2001</b:Tag>
    <b:Title>Financial Implications of the Shrinking Supply of U.S. Treasury Securities</b:Title>
    <b:Year>2001</b:Year>
    <b:Author>
      <b:Author>
        <b:NameList>
          <b:Person>
            <b:Last>Kramer</b:Last>
            <b:Middle>Frederick</b:Middle>
            <b:First>Charles</b:First>
          </b:Person>
          <b:Person>
            <b:Last>Schinasi</b:Last>
            <b:Middle>J.</b:Middle>
            <b:First>Garry</b:First>
          </b:Person>
          <b:Person>
            <b:Last>Smith</b:Last>
            <b:Middle>Todd</b:Middle>
            <b:First>T.</b:First>
          </b:Person>
        </b:NameList>
      </b:Author>
    </b:Author>
    <b:Issue>01/61</b:Issue>
    <b:Institution>International Monetary Fund</b:Institution>
    <b:ThesisType>IMF Working Papers</b:ThesisType>
    <b:URL>http://ideas.repec.org/p/imf/imfwpa/01-61.html</b:URL>
    <b:BIBTEX_KeyWords>Capital markets ; United States ; Public debt </b:BIBTEX_KeyWords>
    <b:RefOrder>60</b:RefOrder>
  </b:Source>
  <b:Source>
    <b:SourceType>JournalArticle</b:SourceType>
    <b:Tag>KouVarotto2008</b:Tag>
    <b:Title>Timeliness of spread implied ratings</b:Title>
    <b:Year>2008</b:Year>
    <b:Author>
      <b:Author>
        <b:NameList>
          <b:Person>
            <b:Last>Kou</b:Last>
            <b:First>Jianming</b:First>
          </b:Person>
          <b:Person>
            <b:Last>Varotto</b:Last>
            <b:First>Simone</b:First>
          </b:Person>
        </b:NameList>
      </b:Author>
    </b:Author>
    <b:Pages>503-527</b:Pages>
    <b:Volume>14</b:Volume>
    <b:JournalName>European Financial Management</b:JournalName>
    <b:Issue>3</b:Issue>
    <b:URL>http://ideas.repec.org/a/bla/eufman/v14y2008i3p503-527.html</b:URL>
    <b:RefOrder>61</b:RefOrder>
  </b:Source>
  <b:Source>
    <b:SourceType>Report</b:SourceType>
    <b:BIBTEX_Entry>techreport</b:BIBTEX_Entry>
    <b:Tag>King2008</b:Tag>
    <b:Title>Are the brokers broken?</b:Title>
    <b:Year>2008</b:Year>
    <b:Author>
      <b:Author>
        <b:NameList>
          <b:Person>
            <b:Last>King</b:Last>
            <b:First>Matt</b:First>
          </b:Person>
        </b:NameList>
      </b:Author>
    </b:Author>
    <b:Institution>Citi Europe Global Corporates</b:Institution>
    <b:ThesisType>Tech. rep.</b:ThesisType>
    <b:URL>http://www.zerohedge.com/sites/default/files/images/user5/imageroot/2011/12/Are%20the%20brokers%20broken.pdf</b:URL>
    <b:RefOrder>62</b:RefOrder>
  </b:Source>
  <b:Source>
    <b:SourceType>JournalArticle</b:SourceType>
    <b:Tag>KaminskySchmukler2002</b:Tag>
    <b:Title>Emerging market instability: Do sovereign ratings affect country risk and stock returns?</b:Title>
    <b:Year>2002</b:Year>
    <b:Author>
      <b:Author>
        <b:NameList>
          <b:Person>
            <b:Last>Kaminsky</b:Last>
            <b:First>Graciela</b:First>
          </b:Person>
          <b:Person>
            <b:Last>Schmukler</b:Last>
            <b:Middle>L.</b:Middle>
            <b:First>Sergio</b:First>
          </b:Person>
        </b:NameList>
      </b:Author>
    </b:Author>
    <b:Pages>171-195</b:Pages>
    <b:Volume>16</b:Volume>
    <b:JournalName>World Bank Economic Review</b:JournalName>
    <b:Issue>2</b:Issue>
    <b:URL>http://ideas.repec.org/a/oup/wbecrv/v16y2002i2p171-195.html</b:URL>
    <b:RefOrder>63</b:RefOrder>
  </b:Source>
  <b:Source>
    <b:SourceType>JournalArticle</b:SourceType>
    <b:Tag>JoyceLasaosaStevensTong2011</b:Tag>
    <b:Title>The Financial Market Impact of Quantitative Easing in the United Kingdom</b:Title>
    <b:Year>2011</b:Year>
    <b:Author>
      <b:Author>
        <b:NameList>
          <b:Person>
            <b:Last>Joyce</b:Last>
            <b:Middle>A. S.</b:Middle>
            <b:First>Michael</b:First>
          </b:Person>
          <b:Person>
            <b:Last>Lasaosa</b:Last>
            <b:First>Ana</b:First>
          </b:Person>
          <b:Person>
            <b:Last>Stevens</b:Last>
            <b:First>Ibrahim</b:First>
          </b:Person>
          <b:Person>
            <b:Last>Tong</b:Last>
            <b:First>Matthew</b:First>
          </b:Person>
        </b:NameList>
      </b:Author>
    </b:Author>
    <b:Pages>113-161</b:Pages>
    <b:Volume>7</b:Volume>
    <b:JournalName>International Journal of Central Banking</b:JournalName>
    <b:Issue>3</b:Issue>
    <b:URL>http://ideas.repec.org/a/ijc/ijcjou/y2011q3a5.html</b:URL>
    <b:RefOrder>64</b:RefOrder>
  </b:Source>
  <b:Source>
    <b:SourceType>JournalArticle</b:SourceType>
    <b:Tag>Jones2000</b:Tag>
    <b:Title>The Demise of the 30-Year Treasury Bond as a Benchmark or Pricing Fixed Income Securities</b:Title>
    <b:Year>2000</b:Year>
    <b:Author>
      <b:Author>
        <b:NameList>
          <b:Person>
            <b:Last>Jones</b:Last>
            <b:Middle>M.</b:Middle>
            <b:First>David</b:First>
          </b:Person>
        </b:NameList>
      </b:Author>
    </b:Author>
    <b:Volume>35</b:Volume>
    <b:JournalName>Business Economics</b:JournalName>
    <b:Issue>4</b:Issue>
    <b:URL>http://www.freepatentsonline.com/article/Business-Economics/67978513.html</b:URL>
    <b:RefOrder>65</b:RefOrder>
  </b:Source>
  <b:Source>
    <b:SourceType>JournalArticle</b:SourceType>
    <b:Tag>IsmailescuKazemi2010</b:Tag>
    <b:Title>The reaction of emerging market credit default swap spreads to sovereign credit rating changes</b:Title>
    <b:Year>2010</b:Year>
    <b:Author>
      <b:Author>
        <b:NameList>
          <b:Person>
            <b:Last>Ismailescu</b:Last>
            <b:First>Iuliana</b:First>
          </b:Person>
          <b:Person>
            <b:Last>Kazemi</b:Last>
            <b:First>Hossein</b:First>
          </b:Person>
        </b:NameList>
      </b:Author>
    </b:Author>
    <b:Pages>2861-2873</b:Pages>
    <b:Volume>34</b:Volume>
    <b:JournalName>Journal of Banking \&amp; Finance</b:JournalName>
    <b:Issue>12</b:Issue>
    <b:URL>http://ideas.repec.org/a/eee/jbfina/v34y2010i12p2861-2873.html</b:URL>
    <b:BIBTEX_KeyWords> Credit default swaps Credit ratings Emerging markets Spillover effects Transmission channels</b:BIBTEX_KeyWords>
    <b:RefOrder>66</b:RefOrder>
  </b:Source>
  <b:Source>
    <b:SourceType>JournalArticle</b:SourceType>
    <b:Tag>HullPredescuWhite2004</b:Tag>
    <b:Title>The relationship between credit default swap spreads, bond yields, and credit rating announcements</b:Title>
    <b:Year>2004</b:Year>
    <b:Author>
      <b:Author>
        <b:NameList>
          <b:Person>
            <b:Last>Hull</b:Last>
            <b:First>John</b:First>
          </b:Person>
          <b:Person>
            <b:Last>Predescu</b:Last>
            <b:First>Mirela</b:First>
          </b:Person>
          <b:Person>
            <b:Last>White</b:Last>
            <b:First>Alan</b:First>
          </b:Person>
        </b:NameList>
      </b:Author>
    </b:Author>
    <b:Pages>2789-2811</b:Pages>
    <b:Volume>28</b:Volume>
    <b:JournalName>Journal of Banking \&amp; Finance</b:JournalName>
    <b:Issue>11</b:Issue>
    <b:URL>http://ideas.repec.org/a/eee/jbfina/v28y2004i11p2789-2811.html</b:URL>
    <b:RefOrder>67</b:RefOrder>
  </b:Source>
  <b:Source>
    <b:SourceType>JournalArticle</b:SourceType>
    <b:Tag>HuiChung2011</b:Tag>
    <b:Title>Crash risk of the euro in the sovereign debt crisis of 2009-2010</b:Title>
    <b:Year>2011</b:Year>
    <b:Author>
      <b:Author>
        <b:NameList>
          <b:Person>
            <b:Last>Hui</b:Last>
            <b:First>Cho-Hoi</b:First>
          </b:Person>
          <b:Person>
            <b:Last>Chung</b:Last>
            <b:First>Tsz-Kin</b:First>
          </b:Person>
        </b:NameList>
      </b:Author>
    </b:Author>
    <b:Pages>2945-2955</b:Pages>
    <b:Volume>35</b:Volume>
    <b:JournalName>Journal of Banking \&amp; Finance</b:JournalName>
    <b:Issue>11</b:Issue>
    <b:URL>http://ideas.repec.org/a/eee/jbfina/v35y2011i11p2945-2955.html</b:URL>
    <b:BIBTEX_KeyWords> European sovereign debt crisis Currency options Credit default swaps Currency crash</b:BIBTEX_KeyWords>
    <b:RefOrder>68</b:RefOrder>
  </b:Source>
  <b:Source>
    <b:SourceType>JournalArticle</b:SourceType>
    <b:Tag>HouKarolyiKho2011</b:Tag>
    <b:Title>What factors drive global stock returns?</b:Title>
    <b:Year>2011</b:Year>
    <b:Author>
      <b:Author>
        <b:NameList>
          <b:Person>
            <b:Last>Hou</b:Last>
            <b:First>Kewei</b:First>
          </b:Person>
          <b:Person>
            <b:Last>Karolyi</b:Last>
            <b:Middle>Andrew</b:Middle>
            <b:First>G.</b:First>
          </b:Person>
          <b:Person>
            <b:Last>Kho</b:Last>
            <b:First>Bong-Chan</b:First>
          </b:Person>
        </b:NameList>
      </b:Author>
    </b:Author>
    <b:Pages>2527-2574</b:Pages>
    <b:Volume>24</b:Volume>
    <b:JournalName>Review of Financial Studies</b:JournalName>
    <b:Issue>8</b:Issue>
    <b:URL>http://ideas.repec.org/a/oup/rfinst/v24y2011i8p2527-2574.html</b:URL>
    <b:RefOrder>69</b:RefOrder>
  </b:Source>
  <b:Source>
    <b:SourceType>JournalArticle</b:SourceType>
    <b:Tag>HordahlKing2008</b:Tag>
    <b:Title>Developments in repo markets during the financial turmoil</b:Title>
    <b:Year>2008</b:Year>
    <b:Author>
      <b:Author>
        <b:NameList>
          <b:Person>
            <b:Last>Hördahl</b:Last>
            <b:First>Peter</b:First>
          </b:Person>
          <b:Person>
            <b:Last>King</b:Last>
            <b:Middle>R</b:Middle>
            <b:First>Michael</b:First>
          </b:Person>
        </b:NameList>
      </b:Author>
    </b:Author>
    <b:Pages>37-53</b:Pages>
    <b:Volume>December</b:Volume>
    <b:JournalName>BIS Quarterly Review</b:JournalName>
    <b:URL>http://ideas.repec.org/a/bis/bisqtr/0812e.html</b:URL>
    <b:RefOrder>70</b:RefOrder>
  </b:Source>
  <b:Source>
    <b:SourceType>JournalArticle</b:SourceType>
    <b:Tag>HilscherNosbusch2010</b:Tag>
    <b:Title>Determinants of sovereign risk: Macroeconomic fundamentals and the pricing of sovereign debt</b:Title>
    <b:Year>2010</b:Year>
    <b:Author>
      <b:Author>
        <b:NameList>
          <b:Person>
            <b:Last>Hilscher</b:Last>
            <b:First>Jens</b:First>
          </b:Person>
          <b:Person>
            <b:Last>Nosbusch</b:Last>
            <b:First>Yves</b:First>
          </b:Person>
        </b:NameList>
      </b:Author>
    </b:Author>
    <b:Pages>235-262</b:Pages>
    <b:Volume>14</b:Volume>
    <b:JournalName>Review of Finance</b:JournalName>
    <b:Issue>2</b:Issue>
    <b:URL>http://ideas.repec.org/a/oup/revfin/v14y2010i2p235-262.html</b:URL>
    <b:RefOrder>71</b:RefOrder>
  </b:Source>
  <b:Source>
    <b:SourceType>JournalArticle</b:SourceType>
    <b:Tag>HillFaff2010</b:Tag>
    <b:Title>The market impact of relative agency activity in the sovereign ratings market</b:Title>
    <b:Year>2010</b:Year>
    <b:Author>
      <b:Author>
        <b:NameList>
          <b:Person>
            <b:Last>Hill</b:Last>
            <b:First>Paula</b:First>
          </b:Person>
          <b:Person>
            <b:Last>Faff</b:Last>
            <b:First>Robert</b:First>
          </b:Person>
        </b:NameList>
      </b:Author>
    </b:Author>
    <b:Pages>1309-1347</b:Pages>
    <b:Volume>37</b:Volume>
    <b:JournalName>Journal of Business Finance \&amp; Accounting</b:JournalName>
    <b:Issue>9-10</b:Issue>
    <b:URL>http://ideas.repec.org/a/bla/jbfnac/v37y2010i9-10p1309-1347.html</b:URL>
    <b:BIBTEX_KeyWords>credit rating ; rating change ; credit watch ; information ; sovereign </b:BIBTEX_KeyWords>
    <b:RefOrder>72</b:RefOrder>
  </b:Source>
  <b:Source>
    <b:SourceType>JournalArticle</b:SourceType>
    <b:Tag>Haubrich2001</b:Tag>
    <b:Title>Swaps and the swaps yield curve</b:Title>
    <b:Year>2001</b:Year>
    <b:Author>
      <b:Author>
        <b:NameList>
          <b:Person>
            <b:Last>Haubrich</b:Last>
            <b:Middle>G.</b:Middle>
            <b:First>Joseph</b:First>
          </b:Person>
        </b:NameList>
      </b:Author>
    </b:Author>
    <b:Pages>1-4</b:Pages>
    <b:Volume>Federal Reserve Bank of Cleveland</b:Volume>
    <b:JournalName>Economic Commentary</b:JournalName>
    <b:URL>http://ideas.repec.org/a/fip/fedcec/y2001idec.html</b:URL>
    <b:BIBTEX_KeyWords>Swaps (Finance) ; Interest rates</b:BIBTEX_KeyWords>
    <b:RefOrder>73</b:RefOrder>
  </b:Source>
  <b:Source>
    <b:SourceType>JournalArticle</b:SourceType>
    <b:Tag>HandHolthausenLeftwich1992</b:Tag>
    <b:Title>The effect of bond rating agency announcements on bond and stock prices</b:Title>
    <b:Year>1992</b:Year>
    <b:Author>
      <b:Author>
        <b:NameList>
          <b:Person>
            <b:Last>Hand</b:Last>
            <b:Middle>R M</b:Middle>
            <b:First>John</b:First>
          </b:Person>
          <b:Person>
            <b:Last>Holthausen</b:Last>
            <b:Middle>W</b:Middle>
            <b:First>Robert</b:First>
          </b:Person>
          <b:Person>
            <b:Last>Leftwich</b:Last>
            <b:Middle>W</b:Middle>
            <b:First>Richard</b:First>
          </b:Person>
        </b:NameList>
      </b:Author>
    </b:Author>
    <b:Pages>733-52</b:Pages>
    <b:Volume>47</b:Volume>
    <b:JournalName>Journal of Finance</b:JournalName>
    <b:Issue>2</b:Issue>
    <b:URL>http://ideas.repec.org/a/bla/jfinan/v47y1992i2p733-52.html</b:URL>
    <b:RefOrder>74</b:RefOrder>
  </b:Source>
  <b:Source>
    <b:SourceType>JournalArticle</b:SourceType>
    <b:Tag>HammoudehSari2011</b:Tag>
    <b:Title>Financial CDS, stock market and interest rates: Which drives which?</b:Title>
    <b:Year>2011</b:Year>
    <b:Author>
      <b:Author>
        <b:NameList>
          <b:Person>
            <b:Last>Hammoudeh</b:Last>
            <b:First>Shawkat</b:First>
          </b:Person>
          <b:Person>
            <b:Last>Sari</b:Last>
            <b:First>Ramazan</b:First>
          </b:Person>
        </b:NameList>
      </b:Author>
    </b:Author>
    <b:Pages>257-276</b:Pages>
    <b:Volume>22</b:Volume>
    <b:StandardNumber> ISSN: 1062-9408 DOI: 10.1016/j.najef.2011.04.001</b:StandardNumber>
    <b:JournalName>North American Journal of Economics and Finance</b:JournalName>
    <b:Issue>3</b:Issue>
    <b:URL>http://www.sciencedirect.com/science/article/pii/S1062940811000209</b:URL>
    <b:BIBTEX_KeyWords>Sector CDSs</b:BIBTEX_KeyWords>
    <b:RefOrder>75</b:RefOrder>
  </b:Source>
  <b:Source>
    <b:SourceType>JournalArticle</b:SourceType>
    <b:Tag>Griffin2002</b:Tag>
    <b:Title>Are the Fama and French factors global or country specific?</b:Title>
    <b:Year>2002</b:Year>
    <b:Author>
      <b:Author>
        <b:NameList>
          <b:Person>
            <b:Last>Griffin</b:Last>
            <b:Middle>M.</b:Middle>
            <b:First>John</b:First>
          </b:Person>
        </b:NameList>
      </b:Author>
    </b:Author>
    <b:Pages>783-803</b:Pages>
    <b:Volume>15</b:Volume>
    <b:StandardNumber> DOI: 10.1093/rfs/15.3.783</b:StandardNumber>
    <b:JournalName>Review of Financial Studies</b:JournalName>
    <b:Issue>3</b:Issue>
    <b:URL>http://rfs.oxfordjournals.org/content/15/3/783.abstract</b:URL>
    <b:RefOrder>76</b:RefOrder>
  </b:Source>
  <b:Source>
    <b:SourceType>Report</b:SourceType>
    <b:BIBTEX_Entry>techreport</b:BIBTEX_Entry>
    <b:Tag>GoyenkoSarkissian2010</b:Tag>
    <b:Title>Flight to liquidity and global equity returns</b:Title>
    <b:Year>2010</b:Year>
    <b:Author>
      <b:Author>
        <b:NameList>
          <b:Person>
            <b:Last>Goyenko</b:Last>
            <b:First>Ruslan</b:First>
          </b:Person>
          <b:Person>
            <b:Last>Sarkissian</b:Last>
            <b:First>Sergei</b:First>
          </b:Person>
        </b:NameList>
      </b:Author>
    </b:Author>
    <b:Issue>27546</b:Issue>
    <b:Institution>University Library of Munich, Germany</b:Institution>
    <b:ThesisType>MPRA Paper</b:ThesisType>
    <b:URL>http://ideas.repec.org/p/pra/mprapa/27546.html</b:URL>
    <b:BIBTEX_KeyWords>Cross-asset integration; Flight-to-quality; Illiquidity beta; International asset pricing; Monetary </b:BIBTEX_KeyWords>
    <b:RefOrder>77</b:RefOrder>
  </b:Source>
  <b:Source>
    <b:SourceType>JournalArticle</b:SourceType>
    <b:Tag>GoyenkoHoldenTrzcinka2009</b:Tag>
    <b:Title>Do liquidity measures measure liquidity?</b:Title>
    <b:Year>2009</b:Year>
    <b:Author>
      <b:Author>
        <b:NameList>
          <b:Person>
            <b:Last>Goyenko</b:Last>
            <b:Middle>Y.</b:Middle>
            <b:First>Ruslan</b:First>
          </b:Person>
          <b:Person>
            <b:Last>Holden</b:Last>
            <b:Middle>W.</b:Middle>
            <b:First>Craig</b:First>
          </b:Person>
          <b:Person>
            <b:Last>Trzcinka</b:Last>
            <b:Middle>A.</b:Middle>
            <b:First>Charles</b:First>
          </b:Person>
        </b:NameList>
      </b:Author>
    </b:Author>
    <b:Pages>153-181</b:Pages>
    <b:Volume>92</b:Volume>
    <b:StandardNumber> ISSN: 0304-405X DOI: 10.1016/j.jfineco.2008.06.002</b:StandardNumber>
    <b:JournalName>Journal of Financial Economics</b:JournalName>
    <b:Issue>2</b:Issue>
    <b:URL>http://www.sciencedirect.com/science/article/pii/S0304405X09000099</b:URL>
    <b:BIBTEX_KeyWords>Liquidity</b:BIBTEX_KeyWords>
    <b:RefOrder>78</b:RefOrder>
  </b:Source>
  <b:Source>
    <b:SourceType>JournalArticle</b:SourceType>
    <b:Tag>GortonMetrick2012</b:Tag>
    <b:Title>Securitized banking and the run on repo</b:Title>
    <b:Year>2012</b:Year>
    <b:Author>
      <b:Author>
        <b:NameList>
          <b:Person>
            <b:Last>Gorton</b:Last>
            <b:First>Gary</b:First>
          </b:Person>
          <b:Person>
            <b:Last>Metrick</b:Last>
            <b:First>Andrew</b:First>
          </b:Person>
        </b:NameList>
      </b:Author>
    </b:Author>
    <b:Pages>425-451</b:Pages>
    <b:Volume>104</b:Volume>
    <b:StandardNumber> ISSN: 0304-405X DOI: 10.1016/j.jfineco.2011.03.016</b:StandardNumber>
    <b:JournalName>Journal of Financial Economics</b:JournalName>
    <b:Issue>3</b:Issue>
    <b:URL>http://www.sciencedirect.com/science/article/pii/S0304405X1100081X</b:URL>
    <b:BIBTEX_KeyWords>Financial crisis</b:BIBTEX_KeyWords>
    <b:RefOrder>79</b:RefOrder>
  </b:Source>
  <b:Source>
    <b:SourceType>JournalArticle</b:SourceType>
    <b:Tag>Goodfriend2011</b:Tag>
    <b:Title>Central banking in the credit turmoil: An assessment of Federal Reserve practice</b:Title>
    <b:Year>2011</b:Year>
    <b:Author>
      <b:Author>
        <b:NameList>
          <b:Person>
            <b:Last>Goodfriend</b:Last>
            <b:First>Marvin</b:First>
          </b:Person>
        </b:NameList>
      </b:Author>
    </b:Author>
    <b:Pages>1-12</b:Pages>
    <b:Volume>58</b:Volume>
    <b:JournalName>Journal of Monetary Economics</b:JournalName>
    <b:Issue>1</b:Issue>
    <b:URL>http://ideas.repec.org/a/eee/moneco/v58y2011i1p1-12.html</b:URL>
    <b:RefOrder>80</b:RefOrder>
  </b:Source>
  <b:Source>
    <b:SourceType>Report</b:SourceType>
    <b:BIBTEX_Entry>techreport</b:BIBTEX_Entry>
    <b:Tag>GoldsteinWoglom1991</b:Tag>
    <b:Title>Market-based fiscal discipline in monetary unions: Evidence from the U.S. municipal bond market</b:Title>
    <b:Year>1991</b:Year>
    <b:Author>
      <b:Author>
        <b:NameList>
          <b:Person>
            <b:Last>Goldstein</b:Last>
            <b:First>Morris</b:First>
          </b:Person>
          <b:Person>
            <b:Last>Woglom</b:Last>
            <b:First>Geoffrey</b:First>
          </b:Person>
        </b:NameList>
      </b:Author>
    </b:Author>
    <b:Issue>91/89</b:Issue>
    <b:Institution>International Monetary Fund</b:Institution>
    <b:ThesisType>IMF Working Papers</b:ThesisType>
    <b:URL>http://ideas.repec.org/p/imf/imfwpa/91-89.html</b:URL>
    <b:BIBTEX_KeyWords>Monetary unions ; United States ; Bond markets </b:BIBTEX_KeyWords>
    <b:RefOrder>81</b:RefOrder>
  </b:Source>
  <b:Source>
    <b:SourceType>JournalArticle</b:SourceType>
    <b:Tag>GoldreichHankeNath2005</b:Tag>
    <b:Title>The price of future liquidity: Time-Varying liquidity in the U.S. Treasury market</b:Title>
    <b:Year>2005</b:Year>
    <b:Author>
      <b:Author>
        <b:NameList>
          <b:Person>
            <b:Last>Goldreich</b:Last>
            <b:First>David</b:First>
          </b:Person>
          <b:Person>
            <b:Last>Hanke</b:Last>
            <b:First>Bernd</b:First>
          </b:Person>
          <b:Person>
            <b:Last>Nath</b:Last>
            <b:First>Purnendu</b:First>
          </b:Person>
        </b:NameList>
      </b:Author>
    </b:Author>
    <b:Pages>1-32</b:Pages>
    <b:Volume>9</b:Volume>
    <b:JournalName>Review of Finance</b:JournalName>
    <b:Issue>1</b:Issue>
    <b:Month>03</b:Month>
    <b:URL>http://ideas.repec.org/a/kap/eurfin/v9y2005i1p1-32.html</b:URL>
    <b:RefOrder>82</b:RefOrder>
  </b:Source>
  <b:Source>
    <b:SourceType>JournalArticle</b:SourceType>
    <b:Tag>GoldbergLeonard2003</b:Tag>
    <b:Title>What moves sovereign bond markets? The effects of economic news on U.S. and German yields</b:Title>
    <b:Year>2003</b:Year>
    <b:Author>
      <b:Author>
        <b:NameList>
          <b:Person>
            <b:Last>Goldberg</b:Last>
            <b:First>Linda</b:First>
          </b:Person>
          <b:Person>
            <b:Last>Leonard</b:Last>
            <b:First>Deborah</b:First>
          </b:Person>
        </b:NameList>
      </b:Author>
    </b:Author>
    <b:Pages>1-7</b:Pages>
    <b:Volume>9</b:Volume>
    <b:JournalName>Current Issues in Economics and Finance</b:JournalName>
    <b:Issue>9</b:Issue>
    <b:URL>http://ideas.repec.org/a/fip/fednci/y2003isepnv.9no.9.html</b:URL>
    <b:BIBTEX_KeyWords>Bond market ; Bond market - Germany ; International finance</b:BIBTEX_KeyWords>
    <b:RefOrder>83</b:RefOrder>
  </b:Source>
  <b:Source>
    <b:SourceType>Report</b:SourceType>
    <b:BIBTEX_Entry>techreport</b:BIBTEX_Entry>
    <b:Tag>GokhaleSmetters2005</b:Tag>
    <b:Title>Measuring social security's financial problems</b:Title>
    <b:Year>2005</b:Year>
    <b:Author>
      <b:Author>
        <b:NameList>
          <b:Person>
            <b:Last>Gokhale</b:Last>
            <b:First>Jagadeesh</b:First>
          </b:Person>
          <b:Person>
            <b:Last>Smetters</b:Last>
            <b:First>Kent</b:First>
          </b:Person>
        </b:NameList>
      </b:Author>
    </b:Author>
    <b:Issue>11060</b:Issue>
    <b:Institution>National Bureau of Economic Research, Inc</b:Institution>
    <b:ThesisType>NBER Working Papers</b:ThesisType>
    <b:URL>http://ideas.repec.org/p/nbr/nberwo/11060.html</b:URL>
    <b:RefOrder>84</b:RefOrder>
  </b:Source>
  <b:Source>
    <b:SourceType>JournalArticle</b:SourceType>
    <b:Tag>GeyerKossmeierPichler2004</b:Tag>
    <b:Title>Measuring systematic risk in EMU government yield spreads</b:Title>
    <b:Year>2004</b:Year>
    <b:Author>
      <b:Author>
        <b:NameList>
          <b:Person>
            <b:Last>Geyer</b:Last>
            <b:First>Alois</b:First>
          </b:Person>
          <b:Person>
            <b:Last>Kossmeier</b:Last>
            <b:First>Stephan</b:First>
          </b:Person>
          <b:Person>
            <b:Last>Pichler</b:Last>
            <b:First>Stefan</b:First>
          </b:Person>
        </b:NameList>
      </b:Author>
    </b:Author>
    <b:Pages>171-197</b:Pages>
    <b:Volume>8</b:Volume>
    <b:StandardNumber> DOI: 10.1023/B:EUFI.0000035191.62455.32</b:StandardNumber>
    <b:JournalName>Review of Finance</b:JournalName>
    <b:Issue>2</b:Issue>
    <b:URL>http://rof.oxfordjournals.org/content/8/2/171.abstract</b:URL>
    <b:RefOrder>85</b:RefOrder>
  </b:Source>
  <b:Source>
    <b:SourceType>Report</b:SourceType>
    <b:BIBTEX_Entry>techreport</b:BIBTEX_Entry>
    <b:Tag>GerlachSchulzWolff2010</b:Tag>
    <b:Title>Banking and sovereign risk in the euro area</b:Title>
    <b:Year>2010</b:Year>
    <b:Author>
      <b:Author>
        <b:NameList>
          <b:Person>
            <b:Last>Gerlach</b:Last>
            <b:First>Stefan</b:First>
          </b:Person>
          <b:Person>
            <b:Last>Schulz</b:Last>
            <b:First>Alexander</b:First>
          </b:Person>
          <b:Person>
            <b:Last>Wolff</b:Last>
            <b:Middle>B.</b:Middle>
            <b:First>Guntram</b:First>
          </b:Person>
        </b:NameList>
      </b:Author>
    </b:Author>
    <b:Institution>Deutsche Bundesbank, Research Centre</b:Institution>
    <b:ThesisType>Discussion Paper Series 1: Economic Studies</b:ThesisType>
    <b:URL>http://ideas.repec.org/p/zbw/bubdp1/201009.html</b:URL>
    <b:BIBTEX_KeyWords>Sovereign bond markets; banking; liquidity; EMU</b:BIBTEX_KeyWords>
    <b:RefOrder>86</b:RefOrder>
  </b:Source>
  <b:Source>
    <b:SourceType>JournalArticle</b:SourceType>
    <b:Tag>GemmillKeswani2011</b:Tag>
    <b:Title>Downside risk and the size of credit spreads</b:Title>
    <b:Year>2011</b:Year>
    <b:Author>
      <b:Author>
        <b:NameList>
          <b:Person>
            <b:Last>Gemmill</b:Last>
            <b:First>Gordon</b:First>
          </b:Person>
          <b:Person>
            <b:Last>Keswani</b:Last>
            <b:First>Aneel</b:First>
          </b:Person>
        </b:NameList>
      </b:Author>
    </b:Author>
    <b:Pages>2021-2036</b:Pages>
    <b:Volume>35</b:Volume>
    <b:StandardNumber> ISSN: 0378-4266 DOI: 10.1016/j.jbankfin.2011.01.019</b:StandardNumber>
    <b:JournalName>Journal of Banking \&amp; Finance</b:JournalName>
    <b:Issue>8</b:Issue>
    <b:URL>http://www.sciencedirect.com/science/article/pii/S0378426611000409</b:URL>
    <b:BIBTEX_KeyWords>Bond</b:BIBTEX_KeyWords>
    <b:RefOrder>87</b:RefOrder>
  </b:Source>
  <b:Source>
    <b:SourceType>Report</b:SourceType>
    <b:BIBTEX_Entry>techreport</b:BIBTEX_Entry>
    <b:Tag>GefangKoopPotter2011</b:Tag>
    <b:Title>Understanding Liquidity and Credit Risks in the Financial Crisis</b:Title>
    <b:Year>2011</b:Year>
    <b:Author>
      <b:Author>
        <b:NameList>
          <b:Person>
            <b:Last>Gefang</b:Last>
            <b:First>Deborah</b:First>
          </b:Person>
          <b:Person>
            <b:Last>Koop</b:Last>
            <b:First>Gary</b:First>
          </b:Person>
          <b:Person>
            <b:Last>Potter</b:Last>
            <b:First>Simon</b:First>
          </b:Person>
        </b:NameList>
      </b:Author>
    </b:Author>
    <b:Issue>1114</b:Issue>
    <b:Institution>University of Strathclyde Business School, Department of Economics</b:Institution>
    <b:ThesisType>Working Papers</b:ThesisType>
    <b:URL>http://ideas.repec.org/p/str/wpaper/1114.html</b:URL>
    <b:BIBTEX_KeyWords>LIBOR-OIS spread; factor model; credit default swap; Bayesian</b:BIBTEX_KeyWords>
    <b:RefOrder>88</b:RefOrder>
  </b:Source>
  <b:Source>
    <b:SourceType>JournalArticle</b:SourceType>
    <b:Tag>GatevStrahan2006</b:Tag>
    <b:Title>Banks' advantage in hedging liquidity risk: Theory and evidence from the commercial paper market</b:Title>
    <b:Year>2006</b:Year>
    <b:Author>
      <b:Author>
        <b:NameList>
          <b:Person>
            <b:Last>Gatev</b:Last>
            <b:First>Evan</b:First>
          </b:Person>
          <b:Person>
            <b:Last>Strahan</b:Last>
            <b:Middle>E.</b:Middle>
            <b:First>Philip</b:First>
          </b:Person>
        </b:NameList>
      </b:Author>
    </b:Author>
    <b:Pages>867-892</b:Pages>
    <b:Volume>61</b:Volume>
    <b:JournalName>Journal of Finance</b:JournalName>
    <b:Issue>2</b:Issue>
    <b:URL>http://ideas.repec.org/a/bla/jfinan/v61y2006i2p867-892.html</b:URL>
    <b:RefOrder>89</b:RefOrder>
  </b:Source>
  <b:Source>
    <b:SourceType>JournalArticle</b:SourceType>
    <b:Tag>GarleanuPedersen2004</b:Tag>
    <b:Title>Adverse Selection and the Required Return</b:Title>
    <b:Year>2004</b:Year>
    <b:Author>
      <b:Author>
        <b:NameList>
          <b:Person>
            <b:Last>Garleanu</b:Last>
            <b:First>Nicolae</b:First>
          </b:Person>
          <b:Person>
            <b:Last>Pedersen</b:Last>
            <b:Middle>Heje</b:Middle>
            <b:First>Lasse</b:First>
          </b:Person>
        </b:NameList>
      </b:Author>
    </b:Author>
    <b:Pages>643-665</b:Pages>
    <b:Volume>17</b:Volume>
    <b:JournalName>Review of Financial Studies</b:JournalName>
    <b:Issue>3</b:Issue>
    <b:URL>http://ideas.repec.org/a/oup/rfinst/v17y2004i3p643-665.html</b:URL>
    <b:RefOrder>90</b:RefOrder>
  </b:Source>
  <b:Source>
    <b:SourceType>JournalArticle</b:SourceType>
    <b:Tag>GandeParsley2005</b:Tag>
    <b:Title>News spillovers in the sovereign debt market</b:Title>
    <b:Year>2005</b:Year>
    <b:Author>
      <b:Author>
        <b:NameList>
          <b:Person>
            <b:Last>Gande</b:Last>
            <b:First>Amar</b:First>
          </b:Person>
          <b:Person>
            <b:Last>Parsley</b:Last>
            <b:Middle>C.</b:Middle>
            <b:First>David</b:First>
          </b:Person>
        </b:NameList>
      </b:Author>
    </b:Author>
    <b:Pages>691-734</b:Pages>
    <b:Volume>75</b:Volume>
    <b:JournalName>Journal of Financial Economics</b:JournalName>
    <b:Issue>3</b:Issue>
    <b:URL>http://ideas.repec.org/a/eee/jfinec/v75y2005i3p691-734.html</b:URL>
    <b:RefOrder>91</b:RefOrder>
  </b:Source>
  <b:Source>
    <b:SourceType>JournalArticle</b:SourceType>
    <b:Tag>GalilSoffer2011</b:Tag>
    <b:Title>Good news, bad news and rating announcements: An empirical investigation</b:Title>
    <b:Year>2011</b:Year>
    <b:Author>
      <b:Author>
        <b:NameList>
          <b:Person>
            <b:Last>Galil</b:Last>
            <b:First>Koresh</b:First>
          </b:Person>
          <b:Person>
            <b:Last>Soffer</b:Last>
            <b:First>Gil</b:First>
          </b:Person>
        </b:NameList>
      </b:Author>
    </b:Author>
    <b:Pages>3101-3119</b:Pages>
    <b:Volume>35</b:Volume>
    <b:StandardNumber> ISSN: 0378-4266 DOI: 10.1016/j.jbankfin.2011.04.010</b:StandardNumber>
    <b:JournalName>Journal of Banking \&amp; Finance</b:JournalName>
    <b:Issue>11</b:Issue>
    <b:URL>http://www.sciencedirect.com/science/article/pii/S037842661100149X</b:URL>
    <b:BIBTEX_KeyWords>Credit Default Swaps Credit risk Credit rating Event study</b:BIBTEX_KeyWords>
    <b:RefOrder>92</b:RefOrder>
  </b:Source>
  <b:Source>
    <b:SourceType>Report</b:SourceType>
    <b:BIBTEX_Entry>techreport</b:BIBTEX_Entry>
    <b:Tag>FontanaScheicher2010</b:Tag>
    <b:Title>An analysis of euro area sovereign CDS and their relation with government bonds</b:Title>
    <b:Year>2010</b:Year>
    <b:Author>
      <b:Author>
        <b:NameList>
          <b:Person>
            <b:Last>Fontana</b:Last>
            <b:First>Alessandro</b:First>
          </b:Person>
          <b:Person>
            <b:Last>Scheicher</b:Last>
            <b:First>Martin</b:First>
          </b:Person>
        </b:NameList>
      </b:Author>
    </b:Author>
    <b:Issue>1271</b:Issue>
    <b:Institution>European Central Bank</b:Institution>
    <b:ThesisType>Working Paper Series</b:ThesisType>
    <b:URL>http://ideas.repec.org/p/ecb/ecbwps/20101271.html</b:URL>
    <b:BIBTEX_KeyWords>Credit Spread; CDS; government bond; financial crisis; limits to arbitrage.</b:BIBTEX_KeyWords>
    <b:RefOrder>93</b:RefOrder>
  </b:Source>
  <b:Source>
    <b:SourceType>JournalArticle</b:SourceType>
    <b:Tag>Fleming2000a</b:Tag>
    <b:Title>The benchmark U.S. Treasury market: recent performance and possible alternatives</b:Title>
    <b:Year>2000</b:Year>
    <b:Author>
      <b:Author>
        <b:NameList>
          <b:Person>
            <b:Last>Fleming</b:Last>
            <b:Middle>J.</b:Middle>
            <b:First>Michael</b:First>
          </b:Person>
        </b:NameList>
      </b:Author>
    </b:Author>
    <b:Pages>129-145</b:Pages>
    <b:Volume>6</b:Volume>
    <b:JournalName>Economic Policy Review</b:JournalName>
    <b:Issue>1</b:Issue>
    <b:URL>http://ideas.repec.org/a/fip/fednep/y2000iaprp129-145nv.6no.1.html</b:URL>
    <b:BIBTEX_Abstract>No abstract is available for this item.</b:BIBTEX_Abstract>
    <b:BIBTEX_KeyWords>Forecasting ; Economic indicators ; Treasury bills ; Government securities ; Budget ; Debts; Public</b:BIBTEX_KeyWords>
    <b:RefOrder>94</b:RefOrder>
  </b:Source>
  <b:Source>
    <b:SourceType>JournalArticle</b:SourceType>
    <b:Tag>FeldhutterLando2008</b:Tag>
    <b:Title>Decomposing swap spreads</b:Title>
    <b:Year>2008</b:Year>
    <b:Author>
      <b:Author>
        <b:NameList>
          <b:Person>
            <b:Last>Feldhütter</b:Last>
            <b:First>Peter</b:First>
          </b:Person>
          <b:Person>
            <b:Last>Lando</b:Last>
            <b:First>David</b:First>
          </b:Person>
        </b:NameList>
      </b:Author>
    </b:Author>
    <b:Pages>375-405</b:Pages>
    <b:Volume>88</b:Volume>
    <b:JournalName>Journal of Financial Economics</b:JournalName>
    <b:Issue>2</b:Issue>
    <b:URL>http://ideas.repec.org/a/eee/jfinec/v88y2008i2p375-405.html</b:URL>
    <b:RefOrder>95</b:RefOrder>
  </b:Source>
  <b:Source>
    <b:SourceType>JournalArticle</b:SourceType>
    <b:Tag>FechtNyborgRocholl2011</b:Tag>
    <b:Title>The price of liquidity: The effects of market conditions and bank characteristics</b:Title>
    <b:Year>2011</b:Year>
    <b:Author>
      <b:Author>
        <b:NameList>
          <b:Person>
            <b:Last>Fecht</b:Last>
            <b:First>Falko</b:First>
          </b:Person>
          <b:Person>
            <b:Last>Nyborg</b:Last>
            <b:Middle>G.</b:Middle>
            <b:First>Kjell</b:First>
          </b:Person>
          <b:Person>
            <b:Last>Rocholl</b:Last>
            <b:First>Jorg</b:First>
          </b:Person>
        </b:NameList>
      </b:Author>
    </b:Author>
    <b:Pages>344-362</b:Pages>
    <b:Volume>102</b:Volume>
    <b:JournalName>Journal of Financial Economics</b:JournalName>
    <b:Issue>2</b:Issue>
    <b:URL>http://ideas.repec.org/a/eee/jfinec/v102y2011i2p344-362.html</b:URL>
    <b:BIBTEX_KeyWords>Banks Liquidity Money markets Repos Imbalance Short squeezing Financial health Liquidity networks St</b:BIBTEX_KeyWords>
    <b:RefOrder>96</b:RefOrder>
  </b:Source>
  <b:Source>
    <b:SourceType>JournalArticle</b:SourceType>
    <b:Tag>FechtNyborgRocholl2008</b:Tag>
    <b:Title>Liquidity management and overnight rate calendar effects: Evidence from German banks</b:Title>
    <b:Year>2008</b:Year>
    <b:Author>
      <b:Author>
        <b:NameList>
          <b:Person>
            <b:Last>Fecht</b:Last>
            <b:First>Falko</b:First>
          </b:Person>
          <b:Person>
            <b:Last>Nyborg</b:Last>
            <b:Middle>G.</b:Middle>
            <b:First>Kjell</b:First>
          </b:Person>
          <b:Person>
            <b:Last>Rocholl</b:Last>
            <b:First>Jorg</b:First>
          </b:Person>
        </b:NameList>
      </b:Author>
    </b:Author>
    <b:Pages>7-21</b:Pages>
    <b:Volume>19</b:Volume>
    <b:StandardNumber> ISSN: 1062-9408 DOI: 10.1016/j.najef.2007.09.003</b:StandardNumber>
    <b:JournalName>North American Journal of Economics and Finance</b:JournalName>
    <b:Issue>1</b:Issue>
    <b:URL>http://www.sciencedirect.com/science/article/pii/S1062940807000472</b:URL>
    <b:BIBTEX_KeyWords>Reserve requirements Liquidity Overnightrates Banking</b:BIBTEX_KeyWords>
    <b:RefOrder>97</b:RefOrder>
  </b:Source>
  <b:Source>
    <b:SourceType>JournalArticle</b:SourceType>
    <b:Tag>FanTianZhang2012</b:Tag>
    <b:Title>Why are excess returns on China's Treasury bonds so predictable? The role of the monetary system</b:Title>
    <b:Year>2012</b:Year>
    <b:Author>
      <b:Author>
        <b:NameList>
          <b:Person>
            <b:Last>Fan</b:Last>
            <b:First>Longzhen</b:First>
          </b:Person>
          <b:Person>
            <b:Last>Tian</b:Last>
            <b:First>Shu</b:First>
          </b:Person>
          <b:Person>
            <b:Last>Zhang</b:Last>
            <b:First>Chu</b:First>
          </b:Person>
        </b:NameList>
      </b:Author>
    </b:Author>
    <b:Pages>239-248</b:Pages>
    <b:Volume>36</b:Volume>
    <b:StandardNumber> ISSN: 0378-4266 DOI: 10.1016/j.jbankfin.2011.07.006</b:StandardNumber>
    <b:JournalName>Journal of Banking \&amp; Finance</b:JournalName>
    <b:Issue>1</b:Issue>
    <b:URL>http://www.sciencedirect.com/science/article/pii/S0378426611002172</b:URL>
    <b:BIBTEX_KeyWords>Bond excess return Monetarysystem Official rate Inflation rate</b:BIBTEX_KeyWords>
    <b:RefOrder>98</b:RefOrder>
  </b:Source>
  <b:Source>
    <b:SourceType>JournalArticle</b:SourceType>
    <b:Tag>FamaMacBeth1973</b:Tag>
    <b:Title>Risk, return, and equilibrium: Empirical tests</b:Title>
    <b:Year>1973</b:Year>
    <b:Author>
      <b:Author>
        <b:NameList>
          <b:Person>
            <b:Last>Fama</b:Last>
            <b:Middle>F</b:Middle>
            <b:First>Eugene</b:First>
          </b:Person>
          <b:Person>
            <b:Last>MacBeth</b:Last>
            <b:Middle>D</b:Middle>
            <b:First>James</b:First>
          </b:Person>
        </b:NameList>
      </b:Author>
    </b:Author>
    <b:Pages>607-36</b:Pages>
    <b:Volume>81</b:Volume>
    <b:JournalName>Journal of Political Economy</b:JournalName>
    <b:Issue>3</b:Issue>
    <b:URL>http://ideas.repec.org/a/ucp/jpolec/v81y1973i3p607-36.html</b:URL>
    <b:RefOrder>99</b:RefOrder>
  </b:Source>
  <b:Source>
    <b:SourceType>JournalArticle</b:SourceType>
    <b:Tag>FamaFrench1993</b:Tag>
    <b:Title>Common risk factors in the returns on stocks and bonds</b:Title>
    <b:Year>1993</b:Year>
    <b:Author>
      <b:Author>
        <b:NameList>
          <b:Person>
            <b:Last>Fama</b:Last>
            <b:Middle>F.</b:Middle>
            <b:First>Eugene</b:First>
          </b:Person>
          <b:Person>
            <b:Last>French</b:Last>
            <b:Middle>R.</b:Middle>
            <b:First>Kenneth</b:First>
          </b:Person>
        </b:NameList>
      </b:Author>
    </b:Author>
    <b:Pages>3-56</b:Pages>
    <b:Volume>33</b:Volume>
    <b:JournalName>Journal of Financial Economics</b:JournalName>
    <b:Issue>1</b:Issue>
    <b:URL>http://ideas.repec.org/a/eee/jfinec/v33y1993i1p3-56.html</b:URL>
    <b:RefOrder>100</b:RefOrder>
  </b:Source>
  <b:Source>
    <b:SourceType>JournalArticle</b:SourceType>
    <b:Tag>Faini2006</b:Tag>
    <b:Title>Fiscal policy and interest rates in Europe</b:Title>
    <b:Year>2006</b:Year>
    <b:Author>
      <b:Author>
        <b:NameList>
          <b:Person>
            <b:Last>Faini</b:Last>
            <b:First>Riccardo</b:First>
          </b:Person>
        </b:NameList>
      </b:Author>
    </b:Author>
    <b:Pages>443-489</b:Pages>
    <b:Volume>21</b:Volume>
    <b:JournalName>Economic Policy</b:JournalName>
    <b:Issue>47</b:Issue>
    <b:URL>http://ideas.repec.org/a/bla/ecpoli/v21y2006i47p443-489.html</b:URL>
    <b:RefOrder>101</b:RefOrder>
  </b:Source>
  <b:Source>
    <b:SourceType>JournalArticle</b:SourceType>
    <b:Tag>EricssonRenault2006</b:Tag>
    <b:Title>Liquidity and credit risk</b:Title>
    <b:Year>2006</b:Year>
    <b:Author>
      <b:Author>
        <b:NameList>
          <b:Person>
            <b:Last>Ericsson</b:Last>
            <b:First>Jan</b:First>
          </b:Person>
          <b:Person>
            <b:Last>Renault</b:Last>
            <b:First>Olivier</b:First>
          </b:Person>
        </b:NameList>
      </b:Author>
    </b:Author>
    <b:Pages>2219-2250</b:Pages>
    <b:Volume>61</b:Volume>
    <b:StandardNumber> ISSN: 1540-6261 DOI: 10.1111/j.1540-6261.2006.01056.x</b:StandardNumber>
    <b:Publisher>Blackwell Publishing Inc</b:Publisher>
    <b:JournalName>Journal of Finance</b:JournalName>
    <b:Issue>5</b:Issue>
    <b:URL>http://dx.doi.org/10.1111/j.1540-6261.2006.01056.x</b:URL>
    <b:RefOrder>102</b:RefOrder>
  </b:Source>
  <b:Source>
    <b:SourceType>Report</b:SourceType>
    <b:BIBTEX_Entry>techreport</b:BIBTEX_Entry>
    <b:Tag>EjsingGrotheGrothe2012</b:Tag>
    <b:Title>Liquidity and credit risk premia in government bond yields</b:Title>
    <b:Year>2012</b:Year>
    <b:Author>
      <b:Author>
        <b:NameList>
          <b:Person>
            <b:Last>Ejsing</b:Last>
            <b:First>Jacob</b:First>
          </b:Person>
          <b:Person>
            <b:Last>Grothe</b:Last>
            <b:First>Magdalena</b:First>
          </b:Person>
          <b:Person>
            <b:Last>Grothe</b:Last>
            <b:First>Oliver</b:First>
          </b:Person>
        </b:NameList>
      </b:Author>
    </b:Author>
    <b:Issue>1440</b:Issue>
    <b:Institution>European Central Bank</b:Institution>
    <b:ThesisType>Working Paper Series</b:ThesisType>
    <b:URL>http://ideas.repec.org/p/ecb/ecbwps/20121440.html</b:URL>
    <b:BIBTEX_KeyWords>liquidity premium; sovereign credit risk; yield curve modeling; bond markets; state space models.</b:BIBTEX_KeyWords>
    <b:RefOrder>103</b:RefOrder>
  </b:Source>
  <b:Source>
    <b:SourceType>Report</b:SourceType>
    <b:BIBTEX_Entry>techreport</b:BIBTEX_Entry>
    <b:Tag>EichengreenMody1998</b:Tag>
    <b:Title>What explains changing spreads on emerging-market debt: Fundamentals or market sentiment?</b:Title>
    <b:Year>1998</b:Year>
    <b:Author>
      <b:Author>
        <b:NameList>
          <b:Person>
            <b:Last>Eichengreen</b:Last>
            <b:First>Barry</b:First>
          </b:Person>
          <b:Person>
            <b:Last>Mody</b:Last>
            <b:First>Ashoka</b:First>
          </b:Person>
        </b:NameList>
      </b:Author>
    </b:Author>
    <b:Issue>6408</b:Issue>
    <b:Institution>National Bureau of Economic Research, Inc</b:Institution>
    <b:ThesisType>NBER Working Papers</b:ThesisType>
    <b:URL>http://ideas.repec.org/p/nbr/nberwo/6408.html</b:URL>
    <b:RefOrder>104</b:RefOrder>
  </b:Source>
  <b:Source>
    <b:SourceType>JournalArticle</b:SourceType>
    <b:Tag>EichengreenMody2000</b:Tag>
    <b:Title>Lending booms, reserves and the sustainability of short-term debt: inferences from the pricing of syndicated bank loans</b:Title>
    <b:Year>2000</b:Year>
    <b:Author>
      <b:Author>
        <b:NameList>
          <b:Person>
            <b:Last>Eichengreen</b:Last>
            <b:First>Barry</b:First>
          </b:Person>
          <b:Person>
            <b:Last>Mody</b:Last>
            <b:First>Ashoka</b:First>
          </b:Person>
        </b:NameList>
      </b:Author>
    </b:Author>
    <b:Pages>5-44</b:Pages>
    <b:Volume>63</b:Volume>
    <b:JournalName>Journal of Development Economics</b:JournalName>
    <b:Issue>1</b:Issue>
    <b:URL>http://ideas.repec.org/a/eee/deveco/v63y2000i1p5-44.html</b:URL>
    <b:RefOrder>105</b:RefOrder>
  </b:Source>
  <b:Source>
    <b:SourceType>JournalArticle</b:SourceType>
    <b:Tag>EasleyEhgleOHaraWu2008</b:Tag>
    <b:Title>Time-varying arrival rates of informed and uninformed trades</b:Title>
    <b:Year>2008</b:Year>
    <b:Author>
      <b:Author>
        <b:NameList>
          <b:Person>
            <b:Last>Easley</b:Last>
            <b:First>David</b:First>
          </b:Person>
          <b:Person>
            <b:Last>Engle</b:Last>
            <b:Middle>F.</b:Middle>
            <b:First>Robert</b:First>
          </b:Person>
          <b:Person>
            <b:Last>O'Hara</b:Last>
            <b:First>Maureen</b:First>
          </b:Person>
          <b:Person>
            <b:Last>Wu</b:Last>
            <b:First>Liuren</b:First>
          </b:Person>
        </b:NameList>
      </b:Author>
    </b:Author>
    <b:Pages>171-207</b:Pages>
    <b:Volume>6</b:Volume>
    <b:JournalName>Journal of Financial Econometrics</b:JournalName>
    <b:Issue>2</b:Issue>
    <b:URL>http://ideas.repec.org/a/oup/jfinec/v6y2008i2p171-207.html</b:URL>
    <b:RefOrder>106</b:RefOrder>
  </b:Source>
  <b:Source>
    <b:SourceType>JournalArticle</b:SourceType>
    <b:Tag>EasleyOHara1992</b:Tag>
    <b:Title>Time and the Process of Security Price Adjustment</b:Title>
    <b:Year>1992</b:Year>
    <b:Author>
      <b:Author>
        <b:NameList>
          <b:Person>
            <b:Last>Easley</b:Last>
            <b:First>David</b:First>
          </b:Person>
          <b:Person>
            <b:Last>O'Hara</b:Last>
            <b:First>Maureen</b:First>
          </b:Person>
        </b:NameList>
      </b:Author>
    </b:Author>
    <b:Pages>576-605</b:Pages>
    <b:Volume>47</b:Volume>
    <b:JournalName>Journal of Finance</b:JournalName>
    <b:Issue>2</b:Issue>
    <b:URL>http://ideas.repec.org/a/bla/jfinan/v47y1992i2p576-605.html</b:URL>
    <b:RefOrder>107</b:RefOrder>
  </b:Source>
  <b:Source>
    <b:SourceType>JournalArticle</b:SourceType>
    <b:Tag>EasleyPradoOHara2011b</b:Tag>
    <b:Title>The microstructure of the ‘Flash Crash’: Flow toxicity, liquidity crashes and the probability of informed trading</b:Title>
    <b:Year>2011</b:Year>
    <b:Author>
      <b:Author>
        <b:NameList>
          <b:Person>
            <b:Last>Easley</b:Last>
            <b:First>David</b:First>
          </b:Person>
          <b:Person>
            <b:Last>Lopez de Prado</b:Last>
            <b:Middle>M.</b:Middle>
            <b:First>Marcos</b:First>
          </b:Person>
          <b:Person>
            <b:Last>O'Hara</b:Last>
            <b:First>Maureen</b:First>
          </b:Person>
        </b:NameList>
      </b:Author>
    </b:Author>
    <b:Pages>118-128</b:Pages>
    <b:Volume>37</b:Volume>
    <b:JournalName>Journal of Portfolio Management</b:JournalName>
    <b:Issue>2</b:Issue>
    <b:URL>http://papers.ssrn.com/sol3/papers.cfm?abstract_id=1695041</b:URL>
    <b:BIBTEX_KeyWords>Flash crash, liquidity, flow toxicity, market microstructure, VPIN</b:BIBTEX_KeyWords>
    <b:RefOrder>108</b:RefOrder>
  </b:Source>
  <b:Source>
    <b:SourceType>JournalArticle</b:SourceType>
    <b:Tag>EasleyKieferOHara1997a</b:Tag>
    <b:Title>The information content of the trading process</b:Title>
    <b:Year>1997</b:Year>
    <b:Author>
      <b:Author>
        <b:NameList>
          <b:Person>
            <b:Last>Easley</b:Last>
            <b:First>David</b:First>
          </b:Person>
          <b:Person>
            <b:Last>Kiefer</b:Last>
            <b:Middle>M.</b:Middle>
            <b:First>Nicholas</b:First>
          </b:Person>
          <b:Person>
            <b:Last>O'Hara</b:Last>
            <b:First>Maureen</b:First>
          </b:Person>
        </b:NameList>
      </b:Author>
    </b:Author>
    <b:Pages>159-186</b:Pages>
    <b:Volume>4</b:Volume>
    <b:StandardNumber> ISSN: 0927-5398 DOI: 10.1016/S0927-5398(97)00005-4</b:StandardNumber>
    <b:JournalName>Journal of Empirical Finance</b:JournalName>
    <b:Issue>2-3</b:Issue>
    <b:URL>http://www.sciencedirect.com/science/article/pii/S0927539897000054</b:URL>
    <b:BIBTEX_KeyWords>Market microstructure</b:BIBTEX_KeyWords>
    <b:RefOrder>109</b:RefOrder>
  </b:Source>
  <b:Source>
    <b:SourceType>JournalArticle</b:SourceType>
    <b:Tag>EasleyPradoOHara2011a</b:Tag>
    <b:Title>The exchange of flow toxicity</b:Title>
    <b:Year>2011</b:Year>
    <b:Author>
      <b:Author>
        <b:NameList>
          <b:Person>
            <b:Last>Easley</b:Last>
            <b:First>David</b:First>
          </b:Person>
          <b:Person>
            <b:Last>Lopez de Prado</b:Last>
            <b:Middle>M.</b:Middle>
            <b:First>Marcos</b:First>
          </b:Person>
          <b:Person>
            <b:Last>O'Hara</b:Last>
            <b:First>Maureen</b:First>
          </b:Person>
        </b:NameList>
      </b:Author>
    </b:Author>
    <b:Pages>8-13</b:Pages>
    <b:Volume>6</b:Volume>
    <b:JournalName>Journal of Trading</b:JournalName>
    <b:Issue>2</b:Issue>
    <b:URL>http://www.iijournals.com/doi/abs/10.3905/jot.2011.6.2.008</b:URL>
    <b:RefOrder>110</b:RefOrder>
  </b:Source>
  <b:Source>
    <b:SourceType>JournalArticle</b:SourceType>
    <b:Tag>EasleyAslanHvidkjaerOHara2011</b:Tag>
    <b:Title>The characteristics of informed trading: Implications for asset pricing</b:Title>
    <b:Year>2011</b:Year>
    <b:Author>
      <b:Author>
        <b:NameList>
          <b:Person>
            <b:Last>Easley</b:Last>
            <b:First>David</b:First>
          </b:Person>
          <b:Person>
            <b:Last>Aslan</b:Last>
            <b:First>Hadiye</b:First>
          </b:Person>
          <b:Person>
            <b:Last>Hvidkjaer</b:Last>
            <b:First>Soeren</b:First>
          </b:Person>
          <b:Person>
            <b:Last>O'Hara</b:Last>
            <b:First>Maureen</b:First>
          </b:Person>
        </b:NameList>
      </b:Author>
    </b:Author>
    <b:Pages>782-801</b:Pages>
    <b:Volume>18</b:Volume>
    <b:JournalName>Journal of Empirical Finance</b:JournalName>
    <b:Issue>5</b:Issue>
    <b:URL>http://ideas.repec.org/a/eee/empfin/v18y2011i5p782-801.html</b:URL>
    <b:BIBTEX_KeyWords>Asset pricing Microstructure Accounting PIN models</b:BIBTEX_KeyWords>
    <b:RefOrder>111</b:RefOrder>
  </b:Source>
  <b:Source>
    <b:SourceType>JournalArticle</b:SourceType>
    <b:Tag>EasleyOHara1987</b:Tag>
    <b:Title>Price, trade size, and information in securities markets</b:Title>
    <b:Year>1987</b:Year>
    <b:Author>
      <b:Author>
        <b:NameList>
          <b:Person>
            <b:Last>Easley</b:Last>
            <b:First>David</b:First>
          </b:Person>
          <b:Person>
            <b:Last>O'Hara</b:Last>
            <b:First>Maureen</b:First>
          </b:Person>
        </b:NameList>
      </b:Author>
    </b:Author>
    <b:Pages>69-90</b:Pages>
    <b:Volume>19</b:Volume>
    <b:JournalName>Journal of Financial Economics</b:JournalName>
    <b:Issue>1</b:Issue>
    <b:URL>http://ideas.repec.org/a/eee/jfinec/v19y1987i1p69-90.html</b:URL>
    <b:RefOrder>112</b:RefOrder>
  </b:Source>
  <b:Source>
    <b:SourceType>JournalArticle</b:SourceType>
    <b:Tag>EasleyKieferOHara1997b</b:Tag>
    <b:Title>One Day in the Life of a Very Common Stock</b:Title>
    <b:Year>1997</b:Year>
    <b:Author>
      <b:Author>
        <b:NameList>
          <b:Person>
            <b:Last>Easley</b:Last>
            <b:First>David</b:First>
          </b:Person>
          <b:Person>
            <b:Last>Kiefer</b:Last>
            <b:Middle>M</b:Middle>
            <b:First>Nicholas</b:First>
          </b:Person>
          <b:Person>
            <b:Last>O'Hara</b:Last>
            <b:First>Maureen</b:First>
          </b:Person>
        </b:NameList>
      </b:Author>
    </b:Author>
    <b:Pages>805-35</b:Pages>
    <b:Volume>10</b:Volume>
    <b:JournalName>Review of Financial Studies</b:JournalName>
    <b:Issue>3</b:Issue>
    <b:URL>http://ideas.repec.org/a/oup/rfinst/v10y1997i3p805-35.html</b:URL>
    <b:RefOrder>113</b:RefOrder>
  </b:Source>
  <b:Source>
    <b:SourceType>JournalArticle</b:SourceType>
    <b:Tag>EasleyKieferOHaraPeperman1996</b:Tag>
    <b:Title>Liquidity, Information, and Infrequently Traded Stocks</b:Title>
    <b:Year>1996</b:Year>
    <b:Author>
      <b:Author>
        <b:NameList>
          <b:Person>
            <b:Last>Easley</b:Last>
            <b:First>David</b:First>
          </b:Person>
          <b:Person>
            <b:Last>Kiefer</b:Last>
            <b:Middle>M</b:Middle>
            <b:First>Nicholas</b:First>
          </b:Person>
          <b:Person>
            <b:Last>O'Hara</b:Last>
            <b:First>Maureen</b:First>
          </b:Person>
          <b:Person>
            <b:Last>Peperman</b:Last>
            <b:Middle>B</b:Middle>
            <b:First>Joseph</b:First>
          </b:Person>
        </b:NameList>
      </b:Author>
    </b:Author>
    <b:Pages>1405-36</b:Pages>
    <b:Volume>51</b:Volume>
    <b:JournalName>Journal of Finance</b:JournalName>
    <b:Issue>4</b:Issue>
    <b:URL>http://ideas.repec.org/a/bla/jfinan/v51y1996i4p1405-36.html</b:URL>
    <b:RefOrder>114</b:RefOrder>
  </b:Source>
  <b:Source>
    <b:SourceType>JournalArticle</b:SourceType>
    <b:Tag>EasleyHvidkjaerOHara2002</b:Tag>
    <b:Title>Is information risk a determinant of asset returns?</b:Title>
    <b:Year>2002</b:Year>
    <b:Author>
      <b:Author>
        <b:NameList>
          <b:Person>
            <b:Last>Easley</b:Last>
            <b:First>David</b:First>
          </b:Person>
          <b:Person>
            <b:Last>Hvidkjaer</b:Last>
            <b:First>Soeren</b:First>
          </b:Person>
          <b:Person>
            <b:Last>O'Hara</b:Last>
            <b:First>Maureen</b:First>
          </b:Person>
        </b:NameList>
      </b:Author>
    </b:Author>
    <b:Pages>pp. 2185-2221</b:Pages>
    <b:Volume>57</b:Volume>
    <b:StandardNumber> ISSN: 00221082</b:StandardNumber>
    <b:Publisher>Wiley-Blackwell for the American Finance Association</b:Publisher>
    <b:JournalName>Journal of Finance</b:JournalName>
    <b:Issue>5</b:Issue>
    <b:URL>http://www.jstor.org/stable/3094509</b:URL>
    <b:BIBTEX_Copyright>Copyright © 2002 American Finance Association</b:BIBTEX_Copyright>
    <b:RefOrder>115</b:RefOrder>
  </b:Source>
  <b:Source>
    <b:SourceType>JournalArticle</b:SourceType>
    <b:Tag>EasleyPradoOHara2012b</b:Tag>
    <b:Title>Flow toxicity and liquidity in a high-frequency world</b:Title>
    <b:Year>2012</b:Year>
    <b:Author>
      <b:Author>
        <b:NameList>
          <b:Person>
            <b:Last>Easley</b:Last>
            <b:First>David</b:First>
          </b:Person>
          <b:Person>
            <b:Last>Lopez de Prado</b:Last>
            <b:Middle>M.</b:Middle>
            <b:First>Marcos</b:First>
          </b:Person>
          <b:Person>
            <b:Last>O'Hara</b:Last>
            <b:First>Maureen</b:First>
          </b:Person>
        </b:NameList>
      </b:Author>
    </b:Author>
    <b:Pages>1457-1493</b:Pages>
    <b:Volume>25</b:Volume>
    <b:StandardNumber> DOI: 10.1093/rfs/hhs053</b:StandardNumber>
    <b:JournalName>Review of Financial Studies</b:JournalName>
    <b:Issue>5</b:Issue>
    <b:URL>http://rfs.oxfordjournals.org/content/early/2012/03/23/rfs.hhs053.abstract</b:URL>
    <b:BIBTEX_KeyWords>Flash crash, liquidity, flow toxicity, volume imbalance, market microstructure, probability of informed trading, VPIN</b:BIBTEX_KeyWords>
    <b:RefOrder>116</b:RefOrder>
  </b:Source>
  <b:Source>
    <b:SourceType>JournalArticle</b:SourceType>
    <b:Tag>EasleyHvidkjaerOHara2010</b:Tag>
    <b:Title>Factoring Information into Returns</b:Title>
    <b:Year>2010</b:Year>
    <b:Author>
      <b:Author>
        <b:NameList>
          <b:Person>
            <b:Last>Easley</b:Last>
            <b:First>David</b:First>
          </b:Person>
          <b:Person>
            <b:Last>Hvidkjaer</b:Last>
            <b:First>Soeren</b:First>
          </b:Person>
          <b:Person>
            <b:Last>O’Hara</b:Last>
            <b:First>Maureen</b:First>
          </b:Person>
        </b:NameList>
      </b:Author>
    </b:Author>
    <b:Pages>293-309</b:Pages>
    <b:Volume>45</b:Volume>
    <b:JournalName>Journal of Financial and Quantitative Analysis</b:JournalName>
    <b:Issue>2</b:Issue>
    <b:URL>http://ideas.repec.org/a/cup/jfinqa/v45y2010i02p293-309_00.html</b:URL>
    <b:RefOrder>117</b:RefOrder>
  </b:Source>
  <b:Source>
    <b:SourceType>JournalArticle</b:SourceType>
    <b:Tag>EasleyKieferOHara1996</b:Tag>
    <b:Title>Cream-Skimming or Profit-Sharing? The Curious Role of Purchased Order Flow</b:Title>
    <b:Year>1996</b:Year>
    <b:Author>
      <b:Author>
        <b:NameList>
          <b:Person>
            <b:Last>Easley</b:Last>
            <b:First>David</b:First>
          </b:Person>
          <b:Person>
            <b:Last>Kiefer</b:Last>
            <b:Middle>M</b:Middle>
            <b:First>Nicholas</b:First>
          </b:Person>
          <b:Person>
            <b:Last>O'Hara</b:Last>
            <b:First>Maureen</b:First>
          </b:Person>
        </b:NameList>
      </b:Author>
    </b:Author>
    <b:Pages>811-33</b:Pages>
    <b:Volume>51</b:Volume>
    <b:JournalName>Journal of Finance</b:JournalName>
    <b:Issue>3</b:Issue>
    <b:URL>http://ideas.repec.org/a/bla/jfinan/v51y1996i3p811-33.html</b:URL>
    <b:RefOrder>118</b:RefOrder>
  </b:Source>
  <b:Source>
    <b:SourceType>Report</b:SourceType>
    <b:BIBTEX_Entry>unpublished</b:BIBTEX_Entry>
    <b:Tag>EasleyPradoOHara2012a</b:Tag>
    <b:Title>Bulk classification of trading activity</b:Title>
    <b:Year>2012</b:Year>
    <b:Comments>Working paper</b:Comments>
    <b:Author>
      <b:Author>
        <b:NameList>
          <b:Person>
            <b:Last>Easley</b:Last>
            <b:First>David</b:First>
          </b:Person>
          <b:Person>
            <b:Last>Lopez de Prado</b:Last>
            <b:Middle>M.</b:Middle>
            <b:First>Marcos</b:First>
          </b:Person>
          <b:Person>
            <b:Last>O'Hara</b:Last>
            <b:First>Maureen</b:First>
          </b:Person>
        </b:NameList>
      </b:Author>
    </b:Author>
    <b:ThesisType>unpublished</b:ThesisType>
    <b:URL>http://papers.ssrn.com/sol3/papers.cfm?abstract_id=1989555</b:URL>
    <b:BIBTEX_KeyWords>Aggressor side, Bulk Volume Classification, flow toxicity, volume imbalance, market microstructure</b:BIBTEX_KeyWords>
    <b:RefOrder>119</b:RefOrder>
  </b:Source>
  <b:Source>
    <b:SourceType>JournalArticle</b:SourceType>
    <b:Tag>DurandLimZumwalt2011</b:Tag>
    <b:Title>Fear and the Fama-French factors</b:Title>
    <b:Year>2011</b:Year>
    <b:Author>
      <b:Author>
        <b:NameList>
          <b:Person>
            <b:Last>Durand</b:Last>
            <b:Middle>B.</b:Middle>
            <b:First>Robert</b:First>
          </b:Person>
          <b:Person>
            <b:Last>Lim</b:Last>
            <b:First>Dominic</b:First>
          </b:Person>
          <b:Person>
            <b:Last>Zumwalt</b:Last>
            <b:Middle>Kenton</b:Middle>
            <b:First>J.</b:First>
          </b:Person>
        </b:NameList>
      </b:Author>
    </b:Author>
    <b:Pages>409-426</b:Pages>
    <b:Volume>40</b:Volume>
    <b:JournalName>Financial Management</b:JournalName>
    <b:Issue>2</b:Issue>
    <b:URL>http://ideas.repec.org/a/bla/finmgt/v40y2011i2p409-426.html</b:URL>
    <b:RefOrder>120</b:RefOrder>
  </b:Source>
  <b:Source>
    <b:SourceType>Report</b:SourceType>
    <b:BIBTEX_Entry>techreport</b:BIBTEX_Entry>
    <b:Tag>DunneMoorePortes2006</b:Tag>
    <b:Title>European government bond markets: transparency, liquidity, efficiency</b:Title>
    <b:Year>2006</b:Year>
    <b:Author>
      <b:Author>
        <b:NameList>
          <b:Person>
            <b:Last>Dunne</b:Last>
            <b:First>Peter</b:First>
          </b:Person>
          <b:Person>
            <b:Last>Moore</b:Last>
            <b:First>Michael</b:First>
          </b:Person>
          <b:Person>
            <b:Last>Portes</b:Last>
            <b:First>Richard</b:First>
          </b:Person>
        </b:NameList>
      </b:Author>
    </b:Author>
    <b:Institution>Centre for Economic Policy Research</b:Institution>
    <b:ThesisType>Tech. rep.</b:ThesisType>
    <b:URL>http://www.cepr.org/PRESS/TT_GovernmentFULL.pdf</b:URL>
    <b:RefOrder>121</b:RefOrder>
  </b:Source>
  <b:Source>
    <b:SourceType>JournalArticle</b:SourceType>
    <b:Tag>DuffiePedersenSingleton2003</b:Tag>
    <b:Title>Modeling sovereign yield spreads: A case study of russian debt</b:Title>
    <b:Year>2003</b:Year>
    <b:Author>
      <b:Author>
        <b:NameList>
          <b:Person>
            <b:Last>Duffie</b:Last>
            <b:First>Darrell</b:First>
          </b:Person>
          <b:Person>
            <b:Last>Pedersen</b:Last>
            <b:Middle>Heje</b:Middle>
            <b:First>Lasse</b:First>
          </b:Person>
          <b:Person>
            <b:Last>Singleton</b:Last>
            <b:Middle>J.</b:Middle>
            <b:First>Kenneth</b:First>
          </b:Person>
        </b:NameList>
      </b:Author>
    </b:Author>
    <b:Pages>119-159</b:Pages>
    <b:Volume>58</b:Volume>
    <b:StandardNumber> ISSN: 1540-6261 DOI: 10.1111/1540-6261.00520</b:StandardNumber>
    <b:Publisher>Blackwell Publishing Ltd.</b:Publisher>
    <b:JournalName>The Journal of Finance</b:JournalName>
    <b:Issue>1</b:Issue>
    <b:URL>http://dx.doi.org/10.1111/1540-6261.00520</b:URL>
    <b:RefOrder>122</b:RefOrder>
  </b:Source>
  <b:Source>
    <b:SourceType>JournalArticle</b:SourceType>
    <b:Tag>DuarteYoung2009</b:Tag>
    <b:Title>Why is PIN priced?</b:Title>
    <b:Year>2009</b:Year>
    <b:Author>
      <b:Author>
        <b:NameList>
          <b:Person>
            <b:Last>Duarte</b:Last>
            <b:First>Jefferson</b:First>
          </b:Person>
          <b:Person>
            <b:Last>Young</b:Last>
            <b:First>Lance</b:First>
          </b:Person>
        </b:NameList>
      </b:Author>
    </b:Author>
    <b:Pages>119-138</b:Pages>
    <b:Volume>91</b:Volume>
    <b:StandardNumber> ISSN: 0304-405X DOI: 10.1016/j.jfineco.2007.10.008</b:StandardNumber>
    <b:JournalName>Journal of Financial Economics</b:JournalName>
    <b:Issue>2</b:Issue>
    <b:URL>http://www.sciencedirect.com/science/article/pii/S0304405X08001827</b:URL>
    <b:BIBTEX_KeyWords>Liquidity</b:BIBTEX_KeyWords>
    <b:RefOrder>123</b:RefOrder>
  </b:Source>
  <b:Source>
    <b:SourceType>JournalArticle</b:SourceType>
    <b:Tag>DrehmannNikolaou2012</b:Tag>
    <b:Title>Funding liquidity risk: Definition and measurement</b:Title>
    <b:Year>2012</b:Year>
    <b:Author>
      <b:Author>
        <b:NameList>
          <b:Person>
            <b:Last>Drehmann</b:Last>
            <b:First>Mathias</b:First>
          </b:Person>
          <b:Person>
            <b:Last>Nikolaou</b:Last>
            <b:First>Kleopatra</b:First>
          </b:Person>
        </b:NameList>
      </b:Author>
    </b:Author>
    <b:Volume>Article in press</b:Volume>
    <b:StandardNumber> ISSN: 0378-4266 DOI: 10.1016/j.jbankfin.2012.01.002</b:StandardNumber>
    <b:JournalName>Journal of Banking \&amp; Finance</b:JournalName>
    <b:URL>http://www.sciencedirect.com/science/article/pii/S0378426612000039</b:URL>
    <b:BIBTEX_KeyWords>Funding liquidity</b:BIBTEX_KeyWords>
    <b:RefOrder>124</b:RefOrder>
  </b:Source>
  <b:Source>
    <b:SourceType>Report</b:SourceType>
    <b:BIBTEX_Entry>unpublished</b:BIBTEX_Entry>
    <b:Tag>FischerDotz2010</b:Tag>
    <b:Title>What can EMU countries’ sovereign bond spreads tell us about market perceptions of default probabilities during the recent financial crisis?</b:Title>
    <b:Year>2010</b:Year>
    <b:Comments>Working paper</b:Comments>
    <b:Author>
      <b:Author>
        <b:NameList>
          <b:Person>
            <b:Last>Dötz</b:Last>
            <b:First>Niko</b:First>
          </b:Person>
          <b:Person>
            <b:Last>Fischer</b:Last>
            <b:Middle>A.</b:Middle>
            <b:First>Christoph</b:First>
          </b:Person>
        </b:NameList>
      </b:Author>
    </b:Author>
    <b:ThesisType>unpublished</b:ThesisType>
    <b:URL>http://papers.ssrn.com/sol3/papers.cfm?abstract_id=2017514</b:URL>
    <b:BIBTEX_KeyWords>Sovereign bond spread, GARCH-in-mean, default probability</b:BIBTEX_KeyWords>
    <b:RefOrder>125</b:RefOrder>
  </b:Source>
  <b:Source>
    <b:SourceType>JournalArticle</b:SourceType>
    <b:Tag>Dick-NielsenFeldhutterLando2012</b:Tag>
    <b:Title>Corporate bond liquidity before and after the onset of the subprime crisis</b:Title>
    <b:Year>2012</b:Year>
    <b:Author>
      <b:Author>
        <b:NameList>
          <b:Person>
            <b:Last>Dick-Nielsen</b:Last>
            <b:First>Jens</b:First>
          </b:Person>
          <b:Person>
            <b:Last>Feldhutter</b:Last>
            <b:First>Peter</b:First>
          </b:Person>
          <b:Person>
            <b:Last>Lando</b:Last>
            <b:First>David</b:First>
          </b:Person>
        </b:NameList>
      </b:Author>
    </b:Author>
    <b:Pages>471-492</b:Pages>
    <b:Volume>103</b:Volume>
    <b:StandardNumber> ISSN: 0304-405X DOI: 10.1016/j.jfineco.2011.10.009</b:StandardNumber>
    <b:JournalName>Journal of Financial Economics</b:JournalName>
    <b:Issue>3</b:Issue>
    <b:URL>http://www.sciencedirect.com/science/article/pii/S0304405X11002418</b:URL>
    <b:BIBTEX_KeyWords>Corporate bonds</b:BIBTEX_KeyWords>
    <b:RefOrder>126</b:RefOrder>
  </b:Source>
  <b:Source>
    <b:SourceType>JournalArticle</b:SourceType>
    <b:Tag>WeigelGordon2006</b:Tag>
    <b:Title>What drives credit risk in emerging markets? The roles of country fundamentals and market co-movements</b:Title>
    <b:Year>2006</b:Year>
    <b:Author>
      <b:Author>
        <b:NameList>
          <b:Person>
            <b:Last>Diaz Weigel</b:Last>
            <b:First>Diana</b:First>
          </b:Person>
          <b:Person>
            <b:Last>Gemmill</b:Last>
            <b:First>Gordon</b:First>
          </b:Person>
        </b:NameList>
      </b:Author>
    </b:Author>
    <b:Pages>476-502</b:Pages>
    <b:Volume>25</b:Volume>
    <b:JournalName>Journal of International Money and Finance</b:JournalName>
    <b:Issue>3</b:Issue>
    <b:URL>http://ideas.repec.org/a/eee/jimfin/v25y2006i3p476-502.html</b:URL>
    <b:RefOrder>127</b:RefOrder>
  </b:Source>
  <b:Source>
    <b:SourceType>Report</b:SourceType>
    <b:BIBTEX_Entry>unpublished</b:BIBTEX_Entry>
    <b:Tag>DiazGrobaSerrano2011</b:Tag>
    <b:Title>What drives corporate default risk premia? Evidence from the CDS market</b:Title>
    <b:Year>2011</b:Year>
    <b:Comments>Working paper</b:Comments>
    <b:Author>
      <b:Author>
        <b:NameList>
          <b:Person>
            <b:Last>Díaz</b:Last>
            <b:First>A.</b:First>
          </b:Person>
          <b:Person>
            <b:Last>Groba</b:Last>
            <b:First>J.</b:First>
          </b:Person>
          <b:Person>
            <b:Last>Serrano</b:Last>
            <b:First>P.</b:First>
          </b:Person>
        </b:NameList>
      </b:Author>
    </b:Author>
    <b:ThesisType>unpublished</b:ThesisType>
    <b:URL>https://19ecda9c-a-62cb3a1a-s-sites.googlegroups.com/site/jonatangroba/Default_risk_premium.pdf?attachauth=ANoY7crzWb1mnI63dUa0-hHEoy1LlphPlgX7hIU9BetV0uivZlxF8JUTsp1ntet8frb_EoqqzXHlcnYY3zcd5z8poyevy-hMbR3bqp5tUfoF7JglDTtjCkBsZcCmbsEoVQtN6Lm7LqrxZqUT3znelJctqx1m9qoOee05lhJxoLEjVmBQJoxfpXLs2ZJEqE86XGVVpnIHvGxTf7lUFI7E6oJ78L0_jks7EE5CC812oRL71RCiHNXecSA%3D&amp;attredirects=0</b:URL>
    <b:BIBTEX_KeyWords>Default risk premium, CDS, EDF, risk neutral default probability, actual default probability</b:BIBTEX_KeyWords>
    <b:RefOrder>128</b:RefOrder>
  </b:Source>
  <b:Source>
    <b:SourceType>JournalArticle</b:SourceType>
    <b:Tag>DaGao2008</b:Tag>
    <b:Title>Clientele change, liquidity shock, and the return on financially distressed stocks</b:Title>
    <b:Year>2010</b:Year>
    <b:Author>
      <b:Author>
        <b:NameList>
          <b:Person>
            <b:Last>Da</b:Last>
            <b:First>Zhi</b:First>
          </b:Person>
          <b:Person>
            <b:Last>Gao</b:Last>
            <b:First>Pengjie</b:First>
          </b:Person>
        </b:NameList>
      </b:Author>
    </b:Author>
    <b:Pages>27-48</b:Pages>
    <b:Volume>45</b:Volume>
    <b:JournalName>Journal of Financial and Quantitative Analysis</b:JournalName>
    <b:Issue>01</b:Issue>
    <b:URL>http://ideas.repec.org/a/cup/jfinqa/v45y2010i01p27-48_00.html</b:URL>
    <b:RefOrder>129</b:RefOrder>
  </b:Source>
  <b:Source>
    <b:SourceType>JournalArticle</b:SourceType>
    <b:Tag>CornettMcNuttStrahanTehranian2011</b:Tag>
    <b:Title>Liquidity risk management and credit supply in the financial crisis</b:Title>
    <b:Year>2011</b:Year>
    <b:Author>
      <b:Author>
        <b:NameList>
          <b:Person>
            <b:Last>Cornett</b:Last>
            <b:Middle>Millon</b:Middle>
            <b:First>Marcia</b:First>
          </b:Person>
          <b:Person>
            <b:Last>McNutt</b:Last>
            <b:Middle>John</b:Middle>
            <b:First>Jamie</b:First>
          </b:Person>
          <b:Person>
            <b:Last>Strahan</b:Last>
            <b:Middle>E.</b:Middle>
            <b:First>Philip</b:First>
          </b:Person>
          <b:Person>
            <b:Last>Tehranian</b:Last>
            <b:First>Hassan</b:First>
          </b:Person>
        </b:NameList>
      </b:Author>
    </b:Author>
    <b:Pages>297-312</b:Pages>
    <b:Volume>101</b:Volume>
    <b:JournalName>Journal of Financial Economics</b:JournalName>
    <b:Issue>2</b:Issue>
    <b:URL>http://ideas.repec.org/a/eee/jfinec/v101y2011i2p297-312.html</b:URL>
    <b:BIBTEX_KeyWords> Financial institutions Liquidity risk Financial crisis</b:BIBTEX_KeyWords>
    <b:RefOrder>130</b:RefOrder>
  </b:Source>
  <b:Source>
    <b:SourceType>JournalArticle</b:SourceType>
    <b:Tag>ConnollyStiversSun2005</b:Tag>
    <b:Title>Stock market uncertainty and the stock-bond return relation</b:Title>
    <b:Year>2005</b:Year>
    <b:Author>
      <b:Author>
        <b:NameList>
          <b:Person>
            <b:Last>Connolly</b:Last>
            <b:First>Robert</b:First>
          </b:Person>
          <b:Person>
            <b:Last>Stivers</b:Last>
            <b:First>Chris</b:First>
          </b:Person>
          <b:Person>
            <b:Last>Sun</b:Last>
            <b:First>Licheng</b:First>
          </b:Person>
        </b:NameList>
      </b:Author>
    </b:Author>
    <b:Pages>161-194</b:Pages>
    <b:Volume>40</b:Volume>
    <b:JournalName>Journal of Financial and Quantitative Analysis</b:JournalName>
    <b:Issue>01</b:Issue>
    <b:URL>http://ideas.repec.org/a/cup/jfinqa/v40y2005i01p161-194_00.html</b:URL>
    <b:RefOrder>131</b:RefOrder>
  </b:Source>
  <b:Source>
    <b:SourceType>Report</b:SourceType>
    <b:BIBTEX_Entry>techreport</b:BIBTEX_Entry>
    <b:Tag>ICMArepo2012</b:Tag>
    <b:Title>ICMA European repo market survey</b:Title>
    <b:Year>2012</b:Year>
    <b:Author>
      <b:Author>
        <b:NameList>
          <b:Person>
            <b:Last>Comotto</b:Last>
            <b:First>Richard</b:First>
          </b:Person>
        </b:NameList>
      </b:Author>
    </b:Author>
    <b:Issue>23</b:Issue>
    <b:Institution>ICMA</b:Institution>
    <b:ThesisType>Tech. rep.</b:ThesisType>
    <b:URL>http://www.icmagroup.org/Regulatory-Policy-and-Market-Practice/short-term-markets/Repo-Markets/repo/latest/</b:URL>
    <b:BIBTEX_KeyWords>Repo</b:BIBTEX_KeyWords>
    <b:RefOrder>132</b:RefOrder>
  </b:Source>
  <b:Source>
    <b:SourceType>JournalArticle</b:SourceType>
    <b:Tag>Collin-DufresneMartinGoldstein2001</b:Tag>
    <b:Title>The determinants of credit spread changes</b:Title>
    <b:Year>2001</b:Year>
    <b:Author>
      <b:Author>
        <b:NameList>
          <b:Person>
            <b:Last>Collin-Dufresne</b:Last>
            <b:First>Pierre</b:First>
          </b:Person>
          <b:Person>
            <b:Last>Goldstein</b:Last>
            <b:Middle>S.</b:Middle>
            <b:First>ROBERT</b:First>
          </b:Person>
          <b:Person>
            <b:Last>Martin</b:Last>
            <b:Middle>SPENCER</b:Middle>
            <b:First>J.</b:First>
          </b:Person>
        </b:NameList>
      </b:Author>
    </b:Author>
    <b:Pages>2177-2207</b:Pages>
    <b:Volume>56</b:Volume>
    <b:JournalName>Journal of Finance</b:JournalName>
    <b:Issue>6</b:Issue>
    <b:URL>http://ideas.repec.org/a/bla/jfinan/v56y2001i6p2177-2207.html</b:URL>
    <b:RefOrder>133</b:RefOrder>
  </b:Source>
  <b:Source>
    <b:SourceType>Report</b:SourceType>
    <b:BIBTEX_Entry>techreport</b:BIBTEX_Entry>
    <b:Tag>CheungJongRindi2005</b:Tag>
    <b:Title>Trading European sovereign bonds - the microstructure of the MTS trading platforms</b:Title>
    <b:Year>2005</b:Year>
    <b:Author>
      <b:Author>
        <b:NameList>
          <b:Person>
            <b:Last>Cheung</b:Last>
            <b:Middle>Chung</b:Middle>
            <b:First>Yiu</b:First>
          </b:Person>
          <b:Person>
            <b:Last>de Jong</b:Last>
            <b:First>Frank</b:First>
          </b:Person>
          <b:Person>
            <b:Last>Rindi</b:Last>
            <b:First>Barbara</b:First>
          </b:Person>
        </b:NameList>
      </b:Author>
    </b:Author>
    <b:Issue>432</b:Issue>
    <b:Institution>European Central Bank</b:Institution>
    <b:ThesisType>Working Paper Series</b:ThesisType>
    <b:URL>http://ideas.repec.org/p/ecb/ecbwps/20050432.html</b:URL>
    <b:BIBTEX_KeyWords>Bonds markets; Microstructure; Order flow</b:BIBTEX_KeyWords>
    <b:RefOrder>134</b:RefOrder>
  </b:Source>
  <b:Source>
    <b:SourceType>JournalArticle</b:SourceType>
    <b:Tag>ChenChengWu2012</b:Tag>
    <b:Title>Dynamic interactions between interest-rate and credit risk: Theory and evidence on the credit default swap term structure</b:Title>
    <b:Year>2012</b:Year>
    <b:Author>
      <b:Author>
        <b:NameList>
          <b:Person>
            <b:Last>Chen</b:Last>
            <b:First>REN-RAW</b:First>
          </b:Person>
          <b:Person>
            <b:Last>Cheng</b:Last>
            <b:First>XIAOLIN</b:First>
          </b:Person>
          <b:Person>
            <b:Last>Wu</b:Last>
            <b:First>LIUREN</b:First>
          </b:Person>
        </b:NameList>
      </b:Author>
    </b:Author>
    <b:Volume>Article in press</b:Volume>
    <b:JournalName>Review of Finance</b:JournalName>
    <b:URL>http://faculty.baruch.cuny.edu/lwu/papers/ChenChengWuRoF2011.pdf</b:URL>
    <b:RefOrder>135</b:RefOrder>
  </b:Source>
  <b:Source>
    <b:SourceType>JournalArticle</b:SourceType>
    <b:Tag>ChenChoi2012</b:Tag>
    <b:Title>Does information vault Niagara Falls? Cross-listed trading in New York and Toronto</b:Title>
    <b:Year>2012</b:Year>
    <b:Author>
      <b:Author>
        <b:NameList>
          <b:Person>
            <b:Last>Chen</b:Last>
            <b:First>Haiqiang</b:First>
          </b:Person>
          <b:Person>
            <b:Last>Choi</b:Last>
            <b:Middle>Moon Sub</b:Middle>
            <b:First>Paul</b:First>
          </b:Person>
        </b:NameList>
      </b:Author>
    </b:Author>
    <b:Pages>175-199</b:Pages>
    <b:Volume>19</b:Volume>
    <b:StandardNumber> ISSN: 0927-5398 DOI: 10.1016/j.jempfin.2012.01.001</b:StandardNumber>
    <b:JournalName>Journal of Empirical Finance</b:JournalName>
    <b:Issue>2</b:Issue>
    <b:URL>http://www.sciencedirect.com/science/article/pii/S0927539812000023</b:URL>
    <b:BIBTEX_KeyWords>Cross-listing</b:BIBTEX_KeyWords>
    <b:RefOrder>136</b:RefOrder>
  </b:Source>
  <b:Source>
    <b:SourceType>Report</b:SourceType>
    <b:BIBTEX_Entry>unpublished</b:BIBTEX_Entry>
    <b:Tag>CharoenrookConrad2008</b:Tag>
    <b:Title>Identifying Risk-Based Factors</b:Title>
    <b:Year>2008</b:Year>
    <b:Comments>Working Paper</b:Comments>
    <b:Author>
      <b:Author>
        <b:NameList>
          <b:Person>
            <b:Last>Charoenrook</b:Last>
            <b:First>Anchada</b:First>
          </b:Person>
          <b:Person>
            <b:Last>Conrad</b:Last>
            <b:First>Jennifer</b:First>
          </b:Person>
        </b:NameList>
      </b:Author>
    </b:Author>
    <b:ThesisType>unpublished</b:ThesisType>
    <b:URL>http://apps.olin.wustl.edu/workingpapers/pdf/2008-12-002.pdf</b:URL>
    <b:RefOrder>137</b:RefOrder>
  </b:Source>
  <b:Source>
    <b:SourceType>JournalArticle</b:SourceType>
    <b:Tag>CantorPacker1996</b:Tag>
    <b:Title>Determinants and impact of sovereign credit ratings</b:Title>
    <b:Year>1996</b:Year>
    <b:Author>
      <b:Author>
        <b:NameList>
          <b:Person>
            <b:Last>Cantor</b:Last>
            <b:First>Richard</b:First>
          </b:Person>
          <b:Person>
            <b:Last>Packer</b:Last>
            <b:First>Frank</b:First>
          </b:Person>
        </b:NameList>
      </b:Author>
    </b:Author>
    <b:Pages>37-53</b:Pages>
    <b:Volume>2</b:Volume>
    <b:JournalName>Economic Policy Review</b:JournalName>
    <b:Issue>2</b:Issue>
    <b:URL>http://ideas.repec.org/a/fip/fednep/y1996ioctp37-53nv.2no.2.html</b:URL>
    <b:BIBTEX_KeyWords>Credit ; Debts; External</b:BIBTEX_KeyWords>
    <b:RefOrder>138</b:RefOrder>
  </b:Source>
  <b:Source>
    <b:SourceType>JournalArticle</b:SourceType>
    <b:Tag>CampbellHilscherSzilagyi2008</b:Tag>
    <b:Title>In search of distress risk</b:Title>
    <b:Year>2008</b:Year>
    <b:Author>
      <b:Author>
        <b:NameList>
          <b:Person>
            <b:Last>Campbell</b:Last>
            <b:Middle>Y.</b:Middle>
            <b:First>John</b:First>
          </b:Person>
          <b:Person>
            <b:Last>Hilscher</b:Last>
            <b:First>Jens</b:First>
          </b:Person>
          <b:Person>
            <b:Last>Szilagyi</b:Last>
            <b:First>Jan</b:First>
          </b:Person>
        </b:NameList>
      </b:Author>
    </b:Author>
    <b:Pages>2899-2939</b:Pages>
    <b:Volume>63</b:Volume>
    <b:JournalName>Journal of Finance</b:JournalName>
    <b:Issue>6</b:Issue>
    <b:URL>http://ideas.repec.org/a/bla/jfinan/v63y2008i6p2899-2939.html</b:URL>
    <b:RefOrder>139</b:RefOrder>
  </b:Source>
  <b:Source>
    <b:SourceType>JournalArticle</b:SourceType>
    <b:Tag>CampbellTaksler2003</b:Tag>
    <b:Title>Equity volatility and corporate bond yields</b:Title>
    <b:Year>2003</b:Year>
    <b:Author>
      <b:Author>
        <b:NameList>
          <b:Person>
            <b:Last>Campbell</b:Last>
            <b:Middle>Y.</b:Middle>
            <b:First>John</b:First>
          </b:Person>
          <b:Person>
            <b:Last>Taksler</b:Last>
            <b:Middle>B.</b:Middle>
            <b:First>Glen</b:First>
          </b:Person>
        </b:NameList>
      </b:Author>
    </b:Author>
    <b:Pages>2321-2350</b:Pages>
    <b:Volume>58</b:Volume>
    <b:JournalName>Journal of Finance</b:JournalName>
    <b:Issue>6</b:Issue>
    <b:URL>http://ideas.repec.org/a/bla/jfinan/v58y2003i6p2321-2350.html</b:URL>
    <b:RefOrder>140</b:RefOrder>
  </b:Source>
  <b:Source>
    <b:SourceType>JournalArticle</b:SourceType>
    <b:Tag>CaballeroKrishnamurthy2008</b:Tag>
    <b:Title>Collective risk management in a flight to quality episode</b:Title>
    <b:Year>2008</b:Year>
    <b:Author>
      <b:Author>
        <b:NameList>
          <b:Person>
            <b:Last>Caballero</b:Last>
            <b:Middle>J.</b:Middle>
            <b:First>Ricardo</b:First>
          </b:Person>
          <b:Person>
            <b:Last>Krishnamurthy</b:Last>
            <b:First>Arvind</b:First>
          </b:Person>
        </b:NameList>
      </b:Author>
    </b:Author>
    <b:Pages>2195-2230</b:Pages>
    <b:Volume>63</b:Volume>
    <b:JournalName>Journal of Finance</b:JournalName>
    <b:Issue>5</b:Issue>
    <b:URL>http://ideas.repec.org/a/bla/jfinan/v63y2008i5p2195-2230.html</b:URL>
    <b:RefOrder>141</b:RefOrder>
  </b:Source>
  <b:Source>
    <b:SourceType>Report</b:SourceType>
    <b:BIBTEX_Entry>unpublished</b:BIBTEX_Entry>
    <b:Tag>BuchheitGulati2010</b:Tag>
    <b:Title>How to restructure greek debt</b:Title>
    <b:Year>2010</b:Year>
    <b:Comments>Working paper</b:Comments>
    <b:Author>
      <b:Author>
        <b:NameList>
          <b:Person>
            <b:Last>Buchheit</b:Last>
            <b:Middle>C.</b:Middle>
            <b:First>Lee</b:First>
          </b:Person>
          <b:Person>
            <b:Last>Gulati</b:Last>
            <b:Middle>Mitu</b:Middle>
            <b:First>G.</b:First>
          </b:Person>
        </b:NameList>
      </b:Author>
    </b:Author>
    <b:ThesisType>unpublished</b:ThesisType>
    <b:URL>http://papers.ssrn.com/sol3/papers.cfm?abstract_id=1603304</b:URL>
    <b:RefOrder>142</b:RefOrder>
  </b:Source>
  <b:Source>
    <b:SourceType>JournalArticle</b:SourceType>
    <b:Tag>BrunnermeierPedersen2009</b:Tag>
    <b:Title>Market liquidity and funding liquidity</b:Title>
    <b:Year>2009</b:Year>
    <b:Author>
      <b:Author>
        <b:NameList>
          <b:Person>
            <b:Last>Brunnermeier</b:Last>
            <b:Middle>K.</b:Middle>
            <b:First>Markus</b:First>
          </b:Person>
          <b:Person>
            <b:Last>Pedersen</b:Last>
            <b:Middle>Heje</b:Middle>
            <b:First>Lasse</b:First>
          </b:Person>
        </b:NameList>
      </b:Author>
    </b:Author>
    <b:Pages>2201-2238</b:Pages>
    <b:Volume>22</b:Volume>
    <b:StandardNumber> DOI: 10.1093/rfs/hhn098</b:StandardNumber>
    <b:JournalName>Review of Financial Studies</b:JournalName>
    <b:Issue>6</b:Issue>
    <b:URL>http://rfs.oxfordjournals.org/content/22/6/2201.abstract</b:URL>
    <b:RefOrder>143</b:RefOrder>
  </b:Source>
  <b:Source>
    <b:SourceType>JournalArticle</b:SourceType>
    <b:Tag>BrownHillegeistLo2004</b:Tag>
    <b:Title>Conference calls and information asymmetry</b:Title>
    <b:Year>2004</b:Year>
    <b:Author>
      <b:Author>
        <b:NameList>
          <b:Person>
            <b:Last>Brown</b:Last>
            <b:First>Stephen</b:First>
          </b:Person>
          <b:Person>
            <b:Last>Hillegeist</b:Last>
            <b:Middle>A.</b:Middle>
            <b:First>Stephen</b:First>
          </b:Person>
          <b:Person>
            <b:Last>Lo</b:Last>
            <b:First>Kin</b:First>
          </b:Person>
        </b:NameList>
      </b:Author>
    </b:Author>
    <b:Pages>343-366</b:Pages>
    <b:Volume>37</b:Volume>
    <b:JournalName>Journal of Accounting and Economics</b:JournalName>
    <b:Issue>3</b:Issue>
    <b:URL>http://ideas.repec.org/a/eee/jaecon/v37y2004i3p343-366.html</b:URL>
    <b:RefOrder>144</b:RefOrder>
  </b:Source>
  <b:Source>
    <b:SourceType>JournalArticle</b:SourceType>
    <b:Tag>BrooksFafHillierHillier2004</b:Tag>
    <b:Title>The national market impact of sovereign rating changes</b:Title>
    <b:Year>2004</b:Year>
    <b:Author>
      <b:Author>
        <b:NameList>
          <b:Person>
            <b:Last>Brooks</b:Last>
            <b:First>Robert</b:First>
          </b:Person>
          <b:Person>
            <b:Last>Faff</b:Last>
            <b:Middle>W.</b:Middle>
            <b:First>Robert</b:First>
          </b:Person>
          <b:Person>
            <b:Last>Hillier</b:Last>
            <b:First>David</b:First>
          </b:Person>
          <b:Person>
            <b:Last>Hillier</b:Last>
            <b:First>Joseph</b:First>
          </b:Person>
        </b:NameList>
      </b:Author>
    </b:Author>
    <b:Pages>233-250</b:Pages>
    <b:Volume>28</b:Volume>
    <b:StandardNumber> ISSN: 0378-4266 DOI: 10.1016/S0378-4266(02)00406-5</b:StandardNumber>
    <b:JournalName>Journal of Banking \&amp; Finance</b:JournalName>
    <b:Issue>1</b:Issue>
    <b:URL>http://www.sciencedirect.com/science/article/pii/S0378426602004065</b:URL>
    <b:BIBTEX_KeyWords>Sovereign rating changes</b:BIBTEX_KeyWords>
    <b:RefOrder>145</b:RefOrder>
  </b:Source>
  <b:Source>
    <b:SourceType>JournalArticle</b:SourceType>
    <b:Tag>BrandtKavajecz2004</b:Tag>
    <b:Title>Price discovery in the U.S. Treasury market: The impact of orderflow and liquidity on the yield curve</b:Title>
    <b:Year>2004</b:Year>
    <b:Author>
      <b:Author>
        <b:NameList>
          <b:Person>
            <b:Last>Brandt</b:Last>
            <b:Middle>W.</b:Middle>
            <b:First>Michael</b:First>
          </b:Person>
          <b:Person>
            <b:Last>Kavajecz</b:Last>
            <b:Middle>A.</b:Middle>
            <b:First>Kenneth</b:First>
          </b:Person>
        </b:NameList>
      </b:Author>
    </b:Author>
    <b:Pages>2623–2654</b:Pages>
    <b:Volume>59</b:Volume>
    <b:JournalName>Journal of Finance</b:JournalName>
    <b:Issue>9529</b:Issue>
    <b:Institution>National Bureau of Economic Research, Inc</b:Institution>
    <b:ThesisType>NBER Working Papers</b:ThesisType>
    <b:URL>http://ideas.repec.org/p/nbr/nberwo/9529.html</b:URL>
    <b:RefOrder>146</b:RefOrder>
  </b:Source>
  <b:Source>
    <b:SourceType>JournalArticle</b:SourceType>
    <b:Tag>BrandtKavajeczUnderwood2007</b:Tag>
    <b:Title>Price discovery in the treasury futures market</b:Title>
    <b:Year>2007</b:Year>
    <b:Author>
      <b:Author>
        <b:NameList>
          <b:Person>
            <b:Last>Brandt</b:Last>
            <b:Middle>W.</b:Middle>
            <b:First>Michael</b:First>
          </b:Person>
          <b:Person>
            <b:Last>Kavajecz</b:Last>
            <b:Middle>A.</b:Middle>
            <b:First>Kenneth</b:First>
          </b:Person>
          <b:Person>
            <b:Last>Underwood</b:Last>
            <b:Middle>E.</b:Middle>
            <b:First>Shane</b:First>
          </b:Person>
        </b:NameList>
      </b:Author>
    </b:Author>
    <b:Pages>1021-1051</b:Pages>
    <b:Volume>27</b:Volume>
    <b:StandardNumber> ISSN: 1096-9934 DOI: 10.1002/fut.20275</b:StandardNumber>
    <b:Publisher>Wiley Subscription Services, Inc., A Wiley Company</b:Publisher>
    <b:JournalName>Journal of Futures Markets</b:JournalName>
    <b:Issue>11</b:Issue>
    <b:URL>http://dx.doi.org/10.1002/fut.20275</b:URL>
    <b:RefOrder>147</b:RefOrder>
  </b:Source>
  <b:Source>
    <b:SourceType>BookSection</b:SourceType>
    <b:BIBTEX_Entry>incollection</b:BIBTEX_Entry>
    <b:Tag>BossScheicher2002</b:Tag>
    <b:Title>The determinants of credit spread changes in the euro area</b:Title>
    <b:Year>2002</b:Year>
    <b:Author>
      <b:Author>
        <b:NameList>
          <b:Person>
            <b:Last>Boss</b:Last>
            <b:First>Michael</b:First>
          </b:Person>
          <b:Person>
            <b:Last>Scheicher</b:Last>
            <b:First>Martin</b:First>
          </b:Person>
        </b:NameList>
      </b:Author>
      <b:Editor>
        <b:NameList>
          <b:Person>
            <b:Last>Settlements</b:Last>
            <b:Middle>for International</b:Middle>
            <b:First>Bank</b:First>
          </b:Person>
        </b:NameList>
      </b:Editor>
    </b:Author>
    <b:Pages>181-199</b:Pages>
    <b:Volume>12</b:Volume>
    <b:Publisher>Bank for International Settlements</b:Publisher>
    <b:BookTitle>Market functioning and central bank policy</b:BookTitle>
    <b:ConferenceName>Market functioning and central bank policy</b:ConferenceName>
    <b:URL>http://EconPapers.repec.org/RePEc:bis:bisbpc:12-10</b:URL>
    <b:RefOrder>148</b:RefOrder>
  </b:Source>
  <b:Source>
    <b:SourceType>JournalArticle</b:SourceType>
    <b:Tag>BongaertsJongDriessen2011a</b:Tag>
    <b:Title>Derivative pricing with liquidity risk: Theory and evidence from the credit default swap market</b:Title>
    <b:Year>2011</b:Year>
    <b:Author>
      <b:Author>
        <b:NameList>
          <b:Person>
            <b:Last>Bongaerts</b:Last>
            <b:First>Dion</b:First>
          </b:Person>
          <b:Person>
            <b:Last>Jong</b:Last>
            <b:Middle>De</b:Middle>
            <b:First>Frank</b:First>
          </b:Person>
          <b:Person>
            <b:Last>Driessen</b:Last>
            <b:First>Joost</b:First>
          </b:Person>
        </b:NameList>
      </b:Author>
    </b:Author>
    <b:Pages>203-240</b:Pages>
    <b:Volume>66</b:Volume>
    <b:JournalName>Journal of Finance</b:JournalName>
    <b:Issue>1</b:Issue>
    <b:URL>http://ideas.repec.org/a/bla/jfinan/v66y2011i1p203-240.html</b:URL>
    <b:RefOrder>149</b:RefOrder>
  </b:Source>
  <b:Source>
    <b:SourceType>Report</b:SourceType>
    <b:BIBTEX_Entry>unpublished</b:BIBTEX_Entry>
    <b:Tag>BongaertsJongDriessen2012</b:Tag>
    <b:Title>An asset pricing approach to liquidity effects in corporate bond markets</b:Title>
    <b:Year>2012</b:Year>
    <b:Comments>Working paper</b:Comments>
    <b:Author>
      <b:Author>
        <b:NameList>
          <b:Person>
            <b:Last>Bongaerts</b:Last>
            <b:First>Dion</b:First>
          </b:Person>
          <b:Person>
            <b:Last>Jong</b:Last>
            <b:Middle>De</b:Middle>
            <b:First>Frank</b:First>
          </b:Person>
          <b:Person>
            <b:Last>Driessen</b:Last>
            <b:First>Joost</b:First>
          </b:Person>
        </b:NameList>
      </b:Author>
    </b:Author>
    <b:ThesisType>unpublished</b:ThesisType>
    <b:URL>http://papers.ssrn.com/sol3/papers.cfm?abstract_id=1762564</b:URL>
    <b:BIBTEX_KeyWords>Liquidity premium, liquidity risk, corporate bonds, credit spread puzzle</b:BIBTEX_KeyWords>
    <b:RefOrder>150</b:RefOrder>
  </b:Source>
  <b:Source>
    <b:SourceType>JournalArticle</b:SourceType>
    <b:Tag>Bonfim2009</b:Tag>
    <b:Title>Credit risk drivers: Evaluating the contribution of firm level information and of macroeconomic dynamics</b:Title>
    <b:Year>2009</b:Year>
    <b:Author>
      <b:Author>
        <b:NameList>
          <b:Person>
            <b:Last>Bonfim</b:Last>
            <b:First>Diana</b:First>
          </b:Person>
        </b:NameList>
      </b:Author>
    </b:Author>
    <b:Pages>281-299</b:Pages>
    <b:Volume>33</b:Volume>
    <b:JournalName>Journal of Banking \&amp; Finance</b:JournalName>
    <b:Issue>2</b:Issue>
    <b:URL>http://ideas.repec.org/a/eee/jbfina/v33y2009i2p281-299.html</b:URL>
    <b:BIBTEX_KeyWords> Credit risk Default probability Corporate loans Probit models Duration analysis</b:BIBTEX_KeyWords>
    <b:RefOrder>151</b:RefOrder>
  </b:Source>
  <b:Source>
    <b:SourceType>JournalArticle</b:SourceType>
    <b:Tag>BlumeGoldstein1997</b:Tag>
    <b:Title>Quotes, order flow, and price discovery</b:Title>
    <b:Year>1997</b:Year>
    <b:Author>
      <b:Author>
        <b:NameList>
          <b:Person>
            <b:Last>Blume</b:Last>
            <b:Middle>E</b:Middle>
            <b:First>Marshall</b:First>
          </b:Person>
          <b:Person>
            <b:Last>Goldstein</b:Last>
            <b:Middle>A</b:Middle>
            <b:First>Michael</b:First>
          </b:Person>
        </b:NameList>
      </b:Author>
    </b:Author>
    <b:Pages>221-44</b:Pages>
    <b:Volume>52</b:Volume>
    <b:JournalName>Journal of Finance</b:JournalName>
    <b:Issue>1</b:Issue>
    <b:URL>http://ideas.repec.org/a/bla/jfinan/v52y1997i1p221-44.html</b:URL>
    <b:RefOrder>152</b:RefOrder>
  </b:Source>
  <b:Source>
    <b:SourceType>JournalArticle</b:SourceType>
    <b:Tag>BlancoBrennanMarsh2005</b:Tag>
    <b:Title>An empirical analysis of the dynamic relation between investment-grade bonds and credit default swaps</b:Title>
    <b:Year>2005</b:Year>
    <b:Author>
      <b:Author>
        <b:NameList>
          <b:Person>
            <b:Last>Blanco</b:Last>
            <b:First>Roberto</b:First>
          </b:Person>
          <b:Person>
            <b:Last>Brennan</b:Last>
            <b:First>Simon</b:First>
          </b:Person>
          <b:Person>
            <b:Last>Marsh</b:Last>
            <b:Middle>W.</b:Middle>
            <b:First>Ian</b:First>
          </b:Person>
        </b:NameList>
      </b:Author>
    </b:Author>
    <b:Pages>2255-2281</b:Pages>
    <b:Volume>60</b:Volume>
    <b:JournalName>Journal of Finance</b:JournalName>
    <b:Issue>5</b:Issue>
    <b:URL>http://ideas.repec.org/a/bla/jfinan/v60y2005i5p2255-2281.html</b:URL>
    <b:RefOrder>153</b:RefOrder>
  </b:Source>
  <b:Source>
    <b:SourceType>Report</b:SourceType>
    <b:BIBTEX_Entry>techreport</b:BIBTEX_Entry>
    <b:Tag>BernothHagenSchuknecht2004</b:Tag>
    <b:Title>Sovereign risk premia in the European government bond market</b:Title>
    <b:Year>2004</b:Year>
    <b:Author>
      <b:Author>
        <b:NameList>
          <b:Person>
            <b:Last>Bernoth</b:Last>
            <b:First>Kerstin</b:First>
          </b:Person>
          <b:Person>
            <b:Last>von Hagen</b:Last>
            <b:First>Jürgen</b:First>
          </b:Person>
          <b:Person>
            <b:Last>Schuknecht</b:Last>
            <b:First>Ludger</b:First>
          </b:Person>
        </b:NameList>
      </b:Author>
    </b:Author>
    <b:Issue>369</b:Issue>
    <b:Institution>European Central Bank</b:Institution>
    <b:ThesisType>Working Paper Series</b:ThesisType>
    <b:URL>http://ideas.repec.org/p/ecb/ecbwps/20040369.html</b:URL>
    <b:BIBTEX_KeyWords>asset pricing; determination of interest rates; fiscal policy; government debt.</b:BIBTEX_KeyWords>
    <b:RefOrder>154</b:RefOrder>
  </b:Source>
  <b:Source>
    <b:SourceType>JournalArticle</b:SourceType>
    <b:Tag>BernothWolff2008</b:Tag>
    <b:Title>Fool the markets? Creative accounting, fiscal transparency and sovereign risk premia</b:Title>
    <b:Year>2008</b:Year>
    <b:Author>
      <b:Author>
        <b:NameList>
          <b:Person>
            <b:Last>Bernoth</b:Last>
            <b:First>Kerstin</b:First>
          </b:Person>
          <b:Person>
            <b:Last>Wolff</b:Last>
            <b:Middle>B.</b:Middle>
            <b:First>Guntram</b:First>
          </b:Person>
        </b:NameList>
      </b:Author>
    </b:Author>
    <b:Pages>465-487</b:Pages>
    <b:Volume>55</b:Volume>
    <b:JournalName>Scottish Journal of Political Economy</b:JournalName>
    <b:Issue>4</b:Issue>
    <b:URL>http://ideas.repec.org/a/bla/scotjp/v55y2008i4p465-487.html</b:URL>
    <b:RefOrder>155</b:RefOrder>
  </b:Source>
  <b:Source>
    <b:SourceType>Report</b:SourceType>
    <b:BIBTEX_Entry>unpublished</b:BIBTEX_Entry>
    <b:Tag>BenosJochec2007</b:Tag>
    <b:Title>Testing the Pin Variable</b:Title>
    <b:Year>2007</b:Year>
    <b:Comments>Working Paper</b:Comments>
    <b:Author>
      <b:Author>
        <b:NameList>
          <b:Person>
            <b:Last>Benos</b:Last>
            <b:First>Evangelos</b:First>
          </b:Person>
          <b:Person>
            <b:Last>Jochec</b:Last>
            <b:First>Marek</b:First>
          </b:Person>
        </b:NameList>
      </b:Author>
    </b:Author>
    <b:ThesisType>unpublished</b:ThesisType>
    <b:URL>http://www.business.illinois.edu/finance/phd/pdf/5299.pdf</b:URL>
    <b:RefOrder>156</b:RefOrder>
  </b:Source>
  <b:Source>
    <b:SourceType>JournalArticle</b:SourceType>
    <b:Tag>BeberBrandtKavajecz2009</b:Tag>
    <b:Title>Flight-to-quality or flight-to-liquidity? Evidence from the Euro-Area bond market</b:Title>
    <b:Year>2009</b:Year>
    <b:Author>
      <b:Author>
        <b:NameList>
          <b:Person>
            <b:Last>Beber</b:Last>
            <b:First>Alessandro</b:First>
          </b:Person>
          <b:Person>
            <b:Last>Brandt</b:Last>
            <b:Middle>W.</b:Middle>
            <b:First>Michael</b:First>
          </b:Person>
          <b:Person>
            <b:Last>Kavajecz</b:Last>
            <b:Middle>A.</b:Middle>
            <b:First>Kenneth</b:First>
          </b:Person>
        </b:NameList>
      </b:Author>
    </b:Author>
    <b:Pages>925-957</b:Pages>
    <b:Volume>22</b:Volume>
    <b:JournalName>Review of Financial Studies</b:JournalName>
    <b:Issue>3</b:Issue>
    <b:URL>http://ideas.repec.org/a/oup/rfinst/v22y2009i3p925-957.html</b:URL>
    <b:RefOrder>157</b:RefOrder>
  </b:Source>
  <b:Source>
    <b:SourceType>Report</b:SourceType>
    <b:BIBTEX_Entry>techreport</b:BIBTEX_Entry>
    <b:Tag>BarriosIversenLewandowskaSetzer2009</b:Tag>
    <b:Title>Determinants of intra-euro area government bond spreads during the financial crisis</b:Title>
    <b:Year>2009</b:Year>
    <b:Author>
      <b:Author>
        <b:NameList>
          <b:Person>
            <b:Last>Barrios</b:Last>
            <b:First>Salvador</b:First>
          </b:Person>
          <b:Person>
            <b:Last>Iversen</b:Last>
            <b:First>Per</b:First>
          </b:Person>
          <b:Person>
            <b:Last>Lewandowska</b:Last>
            <b:First>Magdalena</b:First>
          </b:Person>
          <b:Person>
            <b:Last>Setzer</b:Last>
            <b:First>Ralph</b:First>
          </b:Person>
        </b:NameList>
      </b:Author>
    </b:Author>
    <b:Issue>388</b:Issue>
    <b:Institution>Directorate General Economic and Monetary Affairs, European Commission</b:Institution>
    <b:ThesisType>European Economy - Economic Papers</b:ThesisType>
    <b:URL>http://ideas.repec.org/p/euf/ecopap/0388.html</b:URL>
    <b:BIBTEX_KeyWords>sovereign bond; intra-euro area government bond spreads; spread determinants; financial crisis Barri</b:BIBTEX_KeyWords>
    <b:RefOrder>158</b:RefOrder>
  </b:Source>
  <b:Source>
    <b:SourceType>JournalArticle</b:SourceType>
    <b:Tag>BannierHirsch2010</b:Tag>
    <b:Title>The economic function of credit rating agencies - What does the watchlist tell us?</b:Title>
    <b:Year>2010</b:Year>
    <b:Author>
      <b:Author>
        <b:NameList>
          <b:Person>
            <b:Last>Bannier</b:Last>
            <b:Middle>E.</b:Middle>
            <b:First>Christina</b:First>
          </b:Person>
          <b:Person>
            <b:Last>Hirsch</b:Last>
            <b:Middle>W.</b:Middle>
            <b:First>Christian</b:First>
          </b:Person>
        </b:NameList>
      </b:Author>
    </b:Author>
    <b:Pages>3037-3049</b:Pages>
    <b:Volume>34</b:Volume>
    <b:StandardNumber> ISSN: 0378-4266 DOI: 10.1016/j.jbankfin.2010.07.002</b:StandardNumber>
    <b:JournalName>Journal of Banking \&amp; Finance</b:JournalName>
    <b:Issue>12</b:Issue>
    <b:URL>http://www.sciencedirect.com/science/article/pii/S0378426610002608</b:URL>
    <b:BIBTEX_KeyWords>Credit rating agencies</b:BIBTEX_KeyWords>
    <b:RefOrder>159</b:RefOrder>
  </b:Source>
  <b:Source>
    <b:SourceType>JournalArticle</b:SourceType>
    <b:Tag>BaeleBekaertInghelbrecht2010</b:Tag>
    <b:Title>The Determinants of Stock and Bond Return Comovements</b:Title>
    <b:Year>2010</b:Year>
    <b:Author>
      <b:Author>
        <b:NameList>
          <b:Person>
            <b:Last>Baele</b:Last>
            <b:First>Lieven</b:First>
          </b:Person>
          <b:Person>
            <b:Last>Bekaert</b:Last>
            <b:First>Geert</b:First>
          </b:Person>
          <b:Person>
            <b:Last>Inghelbrecht</b:Last>
            <b:First>Koen</b:First>
          </b:Person>
        </b:NameList>
      </b:Author>
    </b:Author>
    <b:Pages>2374-2428</b:Pages>
    <b:Volume>23</b:Volume>
    <b:JournalName>Review of Financial Studies</b:JournalName>
    <b:Issue>6</b:Issue>
    <b:URL>http://ideas.repec.org/a/oup/rfinst/v23y2010i6p2374-2428.html</b:URL>
    <b:RefOrder>160</b:RefOrder>
  </b:Source>
  <b:Source>
    <b:SourceType>Report</b:SourceType>
    <b:BIBTEX_Entry>techreport</b:BIBTEX_Entry>
    <b:Tag>AttinasiChecheritaNickel2009</b:Tag>
    <b:Title>What explains the surge in euro area sovereign spreads during the financial crisis of 2007-09?</b:Title>
    <b:Year>2009</b:Year>
    <b:Author>
      <b:Author>
        <b:NameList>
          <b:Person>
            <b:Last>Attinasi</b:Last>
            <b:First>Maria-Grazia</b:First>
          </b:Person>
          <b:Person>
            <b:Last>Checherita</b:Last>
            <b:First>Cristina</b:First>
          </b:Person>
          <b:Person>
            <b:Last>Nickel</b:Last>
            <b:First>Christiane</b:First>
          </b:Person>
        </b:NameList>
      </b:Author>
    </b:Author>
    <b:Issue>1131</b:Issue>
    <b:Institution>European Central Bank</b:Institution>
    <b:ThesisType>Working Paper Series</b:ThesisType>
    <b:URL>http://ideas.repec.org/p/ecb/ecbwps/20091131.html</b:URL>
    <b:BIBTEX_KeyWords>Fiscal Policy; Sovereign Spreads; Fiscal Announcements.</b:BIBTEX_KeyWords>
    <b:RefOrder>161</b:RefOrder>
  </b:Source>
  <b:Source>
    <b:SourceType>Report</b:SourceType>
    <b:BIBTEX_Entry>techreport</b:BIBTEX_Entry>
    <b:Tag>AndersenBondarenko2011</b:Tag>
    <b:Title>VPIN and the Flash Crash</b:Title>
    <b:Year>2011</b:Year>
    <b:Author>
      <b:Author>
        <b:NameList>
          <b:Person>
            <b:Last>Andersen</b:Last>
            <b:Middle>G.</b:Middle>
            <b:First>Torben</b:First>
          </b:Person>
          <b:Person>
            <b:Last>Bondarenko</b:Last>
            <b:First>Oleg</b:First>
          </b:Person>
        </b:NameList>
      </b:Author>
    </b:Author>
    <b:Issue>2011-50</b:Issue>
    <b:Institution>School of Economics and Management, University of Aarhus</b:Institution>
    <b:ThesisType>CREATES Research Papers</b:ThesisType>
    <b:URL>http://ideas.repec.org/p/aah/create/2011-50.html</b:URL>
    <b:BIBTEX_KeyWords>VPIN; PIN; High-Frequency Trading; Order Flow Toxicity; Order Imbalance; Flash Crash; VIX; Volatilit</b:BIBTEX_KeyWords>
    <b:RefOrder>162</b:RefOrder>
  </b:Source>
  <b:Source>
    <b:SourceType>JournalArticle</b:SourceType>
    <b:Tag>Amihud2002</b:Tag>
    <b:Title>Illiquidity and stock returns: Cross-section and time-series effects</b:Title>
    <b:Year>2002</b:Year>
    <b:Author>
      <b:Author>
        <b:NameList>
          <b:Person>
            <b:Last>Amihud</b:Last>
            <b:First>Yakov</b:First>
          </b:Person>
        </b:NameList>
      </b:Author>
    </b:Author>
    <b:Pages>31-56</b:Pages>
    <b:Volume>5</b:Volume>
    <b:JournalName>Journal of Financial Markets</b:JournalName>
    <b:Issue>1</b:Issue>
    <b:URL>http://ideas.repec.org/a/eee/finmar/v5y2002i1p31-56.html</b:URL>
    <b:RefOrder>163</b:RefOrder>
  </b:Source>
  <b:Source>
    <b:SourceType>JournalArticle</b:SourceType>
    <b:Tag>AltmanRijken2011</b:Tag>
    <b:Title>Toward a bottom-up approach to assessing sovereign default risk</b:Title>
    <b:Year>2011</b:Year>
    <b:Author>
      <b:Author>
        <b:NameList>
          <b:Person>
            <b:Last>Altman</b:Last>
            <b:Middle>I.</b:Middle>
            <b:First>Edward</b:First>
          </b:Person>
          <b:Person>
            <b:Last>Rijken</b:Last>
            <b:Middle>A.</b:Middle>
            <b:First>Herbert</b:First>
          </b:Person>
        </b:NameList>
      </b:Author>
    </b:Author>
    <b:Pages>20-31</b:Pages>
    <b:Volume>23</b:Volume>
    <b:JournalName>Journal of Applied Corporate Finance</b:JournalName>
    <b:Issue>1</b:Issue>
    <b:URL>http://ideas.repec.org/a/bla/jacrfn/v23y2011i1p20-31.html</b:URL>
    <b:RefOrder>164</b:RefOrder>
  </b:Source>
  <b:Source>
    <b:SourceType>Report</b:SourceType>
    <b:BIBTEX_Entry>unpublished</b:BIBTEX_Entry>
    <b:Tag>Altman2000</b:Tag>
    <b:Title>Predicting financial distress of companies: Revisiting the Z-score and Zeta models</b:Title>
    <b:Year>2000</b:Year>
    <b:Comments>Working paper</b:Comments>
    <b:Author>
      <b:Author>
        <b:NameList>
          <b:Person>
            <b:Last>Altman</b:Last>
            <b:Middle>I.</b:Middle>
            <b:First>Edward</b:First>
          </b:Person>
        </b:NameList>
      </b:Author>
    </b:Author>
    <b:ThesisType>unpublished</b:ThesisType>
    <b:URL>http://pages.stern.nyu.edu/~ealtman/PredFnclDistr.pdf</b:URL>
    <b:RefOrder>165</b:RefOrder>
  </b:Source>
  <b:Source>
    <b:SourceType>JournalArticle</b:SourceType>
    <b:Tag>Altman1968</b:Tag>
    <b:Title>Financial ratios, discriminant analysis and the prediction of corporate bankruptcy</b:Title>
    <b:Year>1968</b:Year>
    <b:Author>
      <b:Author>
        <b:NameList>
          <b:Person>
            <b:Last>Altman</b:Last>
            <b:Middle>I.</b:Middle>
            <b:First>Edward</b:First>
          </b:Person>
        </b:NameList>
      </b:Author>
    </b:Author>
    <b:Pages>589-609</b:Pages>
    <b:Volume>23</b:Volume>
    <b:StandardNumber> ISSN: 00221082</b:StandardNumber>
    <b:Publisher>Wiley-Blackwell for the American Finance Association</b:Publisher>
    <b:JournalName>Journal of Finance</b:JournalName>
    <b:Issue>4</b:Issue>
    <b:URL>http://www.jstor.org/stable/2978933</b:URL>
    <b:BIBTEX_Copyright>Copyright © 1968 American Finance Association</b:BIBTEX_Copyright>
    <b:RefOrder>166</b:RefOrder>
  </b:Source>
  <b:Source>
    <b:SourceType>JournalArticle</b:SourceType>
    <b:Tag>Alsakka2010</b:Tag>
    <b:Title>Leads and lags in sovereign credit ratings</b:Title>
    <b:Year>2010</b:Year>
    <b:Author>
      <b:Author>
        <b:NameList>
          <b:Person>
            <b:Last>Alsakka</b:Last>
            <b:First>Rasha</b:First>
          </b:Person>
          <b:Person>
            <b:Last>ap Gwilym</b:Last>
            <b:First>Owain</b:First>
          </b:Person>
        </b:NameList>
      </b:Author>
    </b:Author>
    <b:Pages>2614-2626</b:Pages>
    <b:Volume>34</b:Volume>
    <b:StandardNumber> ISSN: 0378-4266 DOI: 10.1016/j.jbankfin.2010.05.001</b:StandardNumber>
    <b:JournalName>Journal of Banking \&amp; Finance</b:JournalName>
    <b:Issue>11</b:Issue>
    <b:URL>http://www.sciencedirect.com/science/article/pii/S0378426610001780</b:URL>
    <b:BIBTEX_KeyWords>Credit rating agencies</b:BIBTEX_KeyWords>
    <b:RefOrder>167</b:RefOrder>
  </b:Source>
  <b:Source>
    <b:SourceType>JournalArticle</b:SourceType>
    <b:Tag>Alquist2010</b:Tag>
    <b:Title>How important is liquidity risk for sovereign bond risk premia? Evidence from the London stock exchange</b:Title>
    <b:Year>2010</b:Year>
    <b:Author>
      <b:Author>
        <b:NameList>
          <b:Person>
            <b:Last>Alquist</b:Last>
            <b:First>Ron</b:First>
          </b:Person>
        </b:NameList>
      </b:Author>
    </b:Author>
    <b:Pages>219-229</b:Pages>
    <b:Volume>82</b:Volume>
    <b:StandardNumber> ISSN: 0022-1996 DOI: 10.1016/j.jinteco.2010.07.007</b:StandardNumber>
    <b:JournalName>Journal of International Economics</b:JournalName>
    <b:Issue>2</b:Issue>
    <b:URL>http://www.sciencedirect.com/science/article/pii/S0022199610000802</b:URL>
    <b:BIBTEX_KeyWords>Sovereign bond returns</b:BIBTEX_KeyWords>
    <b:RefOrder>2</b:RefOrder>
  </b:Source>
  <b:Source>
    <b:SourceType>JournalArticle</b:SourceType>
    <b:Tag>Alesina1992</b:Tag>
    <b:Title>Default risk on government debt in OECD countries</b:Title>
    <b:Year>1992</b:Year>
    <b:Author>
      <b:Author>
        <b:NameList>
          <b:Person>
            <b:Last>Alesina</b:Last>
            <b:First>Alberto</b:First>
          </b:Person>
          <b:Person>
            <b:Last>Broeck</b:Last>
            <b:Middle>De</b:Middle>
            <b:First>Mark</b:First>
          </b:Person>
          <b:Person>
            <b:Last>Prati</b:Last>
            <b:First>Alessandro</b:First>
          </b:Person>
          <b:Person>
            <b:Last>Tabellini</b:Last>
            <b:First>Guido</b:First>
          </b:Person>
          <b:Person>
            <b:Last>Obstfeld</b:Last>
            <b:First>Maurice</b:First>
          </b:Person>
          <b:Person>
            <b:Last>Rebelo</b:Last>
            <b:First>Sergio</b:First>
          </b:Person>
        </b:NameList>
      </b:Author>
    </b:Author>
    <b:Pages>pp. 427-463</b:Pages>
    <b:Volume>7</b:Volume>
    <b:StandardNumber> ISSN: 02664658</b:StandardNumber>
    <b:Publisher>Wiley-Blackwell on behalf of the Centre for Economic Policy Research, Center for Economic Studies, and the Maison des Sciences de l'Homme</b:Publisher>
    <b:JournalName>Economic Policy</b:JournalName>
    <b:Issue>15</b:Issue>
    <b:URL>http://www.jstor.org/stable/1344548</b:URL>
    <b:BIBTEX_Copyright>Copyright © 1992 Centre for Economic Policy Research, Center for Economic Studies and Maison des Sciences de l'Homme</b:BIBTEX_Copyright>
    <b:RefOrder>168</b:RefOrder>
  </b:Source>
  <b:Source>
    <b:SourceType>JournalArticle</b:SourceType>
    <b:Tag>AlbanesiBarbara2000</b:Tag>
    <b:Title>The quality of the Italian Treasury bond market, asymmetric information and transaction costs</b:Title>
    <b:Year>2000</b:Year>
    <b:Author>
      <b:Author>
        <b:NameList>
          <b:Person>
            <b:Last>Albanesi</b:Last>
            <b:First>Stefania</b:First>
          </b:Person>
          <b:Person>
            <b:Last>Barbara</b:Last>
            <b:First>RINDI</b:First>
          </b:Person>
        </b:NameList>
      </b:Author>
    </b:Author>
    <b:Pages>1-19</b:Pages>
    <b:Volume>60</b:Volume>
    <b:JournalName>Annales d'Economie et de Statistique</b:JournalName>
    <b:Issue>60</b:Issue>
    <b:URL>http://EconPapers.repec.org/RePEc:adr:anecst:y:2000:i:60:p:01</b:URL>
    <b:RefOrder>169</b:RefOrder>
  </b:Source>
  <b:Source>
    <b:SourceType>JournalArticle</b:SourceType>
    <b:Tag>AgarwalTaffler2007</b:Tag>
    <b:Title>Twenty-five years of the Taffler z-score model: Does it really have predictive ability?</b:Title>
    <b:Year>2007</b:Year>
    <b:Author>
      <b:Author>
        <b:NameList>
          <b:Person>
            <b:Last>Agarwal</b:Last>
            <b:First>Vineet</b:First>
          </b:Person>
          <b:Person>
            <b:Last>Taffler</b:Last>
            <b:First>Richard</b:First>
          </b:Person>
        </b:NameList>
      </b:Author>
    </b:Author>
    <b:Pages>285-300</b:Pages>
    <b:Volume>37</b:Volume>
    <b:JournalName>Accounting and Business Research</b:JournalName>
    <b:Issue>4</b:Issue>
    <b:URL>http://www.efmaefm.org/efma2006/papers/932609_full.pdf</b:URL>
    <b:RefOrder>170</b:RefOrder>
  </b:Source>
  <b:Source>
    <b:SourceType>JournalArticle</b:SourceType>
    <b:Tag>Agarwal2008</b:Tag>
    <b:Title>Does financial distress risk drive the momentum anomaly?</b:Title>
    <b:Year>2008</b:Year>
    <b:Author>
      <b:Author>
        <b:NameList>
          <b:Person>
            <b:Last>Agarwal</b:Last>
            <b:First>Vineet</b:First>
          </b:Person>
          <b:Person>
            <b:Last>Taffler</b:Last>
            <b:First>Richard</b:First>
          </b:Person>
        </b:NameList>
      </b:Author>
    </b:Author>
    <b:Pages>461-484</b:Pages>
    <b:Volume>37</b:Volume>
    <b:StandardNumber> ISSN: 1755-053X DOI: 10.1111/j.1755-053X.2008.00021.x</b:StandardNumber>
    <b:Publisher>Blackwell Publishing Asia</b:Publisher>
    <b:JournalName>Financial Management</b:JournalName>
    <b:Issue>3</b:Issue>
    <b:URL>http://dx.doi.org/10.1111/j.1755-053X.2008.00021.x</b:URL>
    <b:RefOrder>171</b:RefOrder>
  </b:Source>
  <b:Source>
    <b:SourceType>JournalArticle</b:SourceType>
    <b:Tag>AcharyaPedersen2005</b:Tag>
    <b:Title>Asset pricing with liquidity risk</b:Title>
    <b:Year>2005</b:Year>
    <b:Author>
      <b:Author>
        <b:NameList>
          <b:Person>
            <b:Last>Acharya</b:Last>
            <b:Middle>V.</b:Middle>
            <b:First>Viral</b:First>
          </b:Person>
          <b:Person>
            <b:Last>Pedersen</b:Last>
            <b:Middle>Heje</b:Middle>
            <b:First>Lasse</b:First>
          </b:Person>
        </b:NameList>
      </b:Author>
    </b:Author>
    <b:Pages>375-410</b:Pages>
    <b:Volume>77</b:Volume>
    <b:StandardNumber> ISSN: 0304-405X DOI: 10.1016/j.jfineco.2004.06.007</b:StandardNumber>
    <b:JournalName>Journal of Financial Economics</b:JournalName>
    <b:Issue>2</b:Issue>
    <b:URL>http://www.sciencedirect.com/science/article/pii/S0304405X05000334</b:URL>
    <b:BIBTEX_KeyWords>Liquidity risk</b:BIBTEX_KeyWords>
    <b:RefOrder>1</b:RefOrder>
  </b:Source>
</b:Sources>
</file>

<file path=customXml/itemProps1.xml><?xml version="1.0" encoding="utf-8"?>
<ds:datastoreItem xmlns:ds="http://schemas.openxmlformats.org/officeDocument/2006/customXml" ds:itemID="{C06B3A08-E950-4DD9-B717-245627CEA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12267</Words>
  <Characters>69923</Characters>
  <Application>Microsoft Office Word</Application>
  <DocSecurity>0</DocSecurity>
  <Lines>582</Lines>
  <Paragraphs>164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82026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Andrei-Tudor Stancu</dc:creator>
  <cp:lastModifiedBy>chicca</cp:lastModifiedBy>
  <cp:revision>2</cp:revision>
  <cp:lastPrinted>2014-09-01T12:41:00Z</cp:lastPrinted>
  <dcterms:created xsi:type="dcterms:W3CDTF">2014-09-01T22:40:00Z</dcterms:created>
  <dcterms:modified xsi:type="dcterms:W3CDTF">2014-09-01T22:40:00Z</dcterms:modified>
</cp:coreProperties>
</file>